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Materials:</w:t>
      </w:r>
      <w:r>
        <w:t xml:space="preserve"> </w:t>
      </w:r>
      <w:r>
        <w:t xml:space="preserve">Elucidating</w:t>
      </w:r>
      <w:r>
        <w:t xml:space="preserve"> </w:t>
      </w:r>
      <w:r>
        <w:t xml:space="preserve">the</w:t>
      </w:r>
      <w:r>
        <w:t xml:space="preserve"> </w:t>
      </w:r>
      <w:r>
        <w:t xml:space="preserve">Transcriptome</w:t>
      </w:r>
      <w:r>
        <w:t xml:space="preserve"> </w:t>
      </w:r>
      <w:r>
        <w:t xml:space="preserve">of</w:t>
      </w:r>
      <w:r>
        <w:t xml:space="preserve"> </w:t>
      </w:r>
      <w:r>
        <w:t xml:space="preserve">Turkey</w:t>
      </w:r>
      <w:r>
        <w:t xml:space="preserve"> </w:t>
      </w:r>
      <w:r>
        <w:t xml:space="preserve">Hemorrhagic</w:t>
      </w:r>
      <w:r>
        <w:t xml:space="preserve"> </w:t>
      </w:r>
      <w:r>
        <w:t xml:space="preserve">Enteritis</w:t>
      </w:r>
      <w:r>
        <w:t xml:space="preserve"> </w:t>
      </w:r>
      <w:r>
        <w:t xml:space="preserve">Virus</w:t>
      </w:r>
    </w:p>
    <w:p>
      <w:pPr>
        <w:pStyle w:val="FirstParagraph"/>
      </w:pPr>
      <w:r>
        <w:rPr>
          <w:bCs/>
          <w:b/>
        </w:rPr>
        <w:t xml:space="preserve">Running Title:</w:t>
      </w:r>
      <w:r>
        <w:t xml:space="preserve"> </w:t>
      </w:r>
      <w:r>
        <w:t xml:space="preserve">Novel Insights into Turkey Hemorrhagic Enteritis Virus Transcriptome</w:t>
      </w:r>
    </w:p>
    <w:p>
      <w:pPr>
        <w:pStyle w:val="BodyText"/>
      </w:pPr>
      <w:r>
        <w:t xml:space="preserve">Abraham Quaye</w:t>
      </w:r>
      <w:r>
        <w:rPr>
          <w:vertAlign w:val="superscript"/>
        </w:rPr>
        <w:t xml:space="preserve">1*</w:t>
      </w:r>
      <w:r>
        <w:t xml:space="preserve">, Bret Pickett</w:t>
      </w:r>
      <w:r>
        <w:rPr>
          <w:vertAlign w:val="superscript"/>
        </w:rPr>
        <w:t xml:space="preserve">*</w:t>
      </w:r>
      <w:r>
        <w:t xml:space="preserve">, Joel S. Griffitts</w:t>
      </w:r>
      <w:r>
        <w:rPr>
          <w:vertAlign w:val="superscript"/>
        </w:rPr>
        <w:t xml:space="preserve">*</w:t>
      </w:r>
      <w:r>
        <w:t xml:space="preserve">, Bradford K. Berges</w:t>
      </w:r>
      <w:r>
        <w:rPr>
          <w:vertAlign w:val="superscript"/>
        </w:rPr>
        <w:t xml:space="preserve">*</w:t>
      </w:r>
      <w:r>
        <w:t xml:space="preserve">, Brian D. Poole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rPr>
          <w:vertAlign w:val="superscript"/>
        </w:rPr>
        <w:t xml:space="preserve">*</w:t>
      </w:r>
    </w:p>
    <w:p>
      <w:pPr>
        <w:pStyle w:val="BodyText"/>
      </w:pPr>
      <w:r>
        <w:rPr>
          <w:vertAlign w:val="superscript"/>
        </w:rPr>
        <w:t xml:space="preserve">*</w:t>
      </w:r>
      <w:r>
        <w:t xml:space="preserve">Department of Microbiology and Molecular Biology, Brigham Young University</w:t>
      </w:r>
      <w:r>
        <w:br/>
      </w:r>
      <w:r>
        <w:rPr>
          <w:vertAlign w:val="superscript"/>
        </w:rPr>
        <w:t xml:space="preserve">1</w:t>
      </w:r>
      <w:r>
        <w:t xml:space="preserve">First-author</w:t>
      </w:r>
      <w:r>
        <w:br/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t xml:space="preserve"> </w:t>
      </w:r>
      <w:r>
        <w:t xml:space="preserve">Corresponding Author</w:t>
      </w:r>
    </w:p>
    <w:p>
      <w:pPr>
        <w:pStyle w:val="BodyText"/>
      </w:pPr>
      <w:r>
        <w:rPr>
          <w:bCs/>
          <w:b/>
        </w:rPr>
        <w:t xml:space="preserve">Corresponding Author Information</w:t>
      </w:r>
      <w:r>
        <w:br/>
      </w:r>
      <w:hyperlink r:id="rId20">
        <w:r>
          <w:rPr>
            <w:rStyle w:val="Hyperlink"/>
          </w:rPr>
          <w:t xml:space="preserve">brian_poole@byu.edu</w:t>
        </w:r>
      </w:hyperlink>
      <w:r>
        <w:br/>
      </w:r>
      <w:r>
        <w:t xml:space="preserve">Department of Microbiology and Molecular Biology,</w:t>
      </w:r>
      <w:r>
        <w:br/>
      </w:r>
      <w:r>
        <w:t xml:space="preserve">4007 Life Sciences Building (LSB),</w:t>
      </w:r>
      <w:r>
        <w:br/>
      </w:r>
      <w:r>
        <w:t xml:space="preserve">Brigham Young University,</w:t>
      </w:r>
      <w:r>
        <w:br/>
      </w:r>
      <w:r>
        <w:t xml:space="preserve">Provo, Utah</w:t>
      </w:r>
      <w:r>
        <w:br/>
      </w:r>
    </w:p>
    <w:bookmarkStart w:id="21" w:name="supplementary-table-1a"/>
    <w:p>
      <w:pPr>
        <w:pStyle w:val="Heading2"/>
      </w:pPr>
      <w:r>
        <w:t xml:space="preserve">Supplementary Table 1A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1a: Most Transcriptionally Active Regions of THEV at 12h.p.i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17.2%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0.8%</w:t>
            </w:r>
          </w:p>
        </w:tc>
      </w:tr>
    </w:tbl>
    <w:bookmarkEnd w:id="21"/>
    <w:bookmarkStart w:id="22" w:name="supplementary-table-1b"/>
    <w:p>
      <w:pPr>
        <w:pStyle w:val="Heading2"/>
      </w:pPr>
      <w:r>
        <w:t xml:space="preserve">Supplementary Table 1B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1b: Most Transcriptionally Active Regions of THEV at 24h.p.i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45.7%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25.4%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24.2%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0.6%</w:t>
            </w:r>
          </w:p>
        </w:tc>
      </w:tr>
    </w:tbl>
    <w:bookmarkEnd w:id="22"/>
    <w:bookmarkStart w:id="23" w:name="supplementary-table-1c"/>
    <w:p>
      <w:pPr>
        <w:pStyle w:val="Heading2"/>
      </w:pPr>
      <w:r>
        <w:t xml:space="preserve">Supplementary Table 1C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1c: Most Transcriptionally Active Regions of THEV at 72h.p.i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152"/>
        <w:gridCol w:w="1152"/>
        <w:gridCol w:w="1152"/>
        <w:gridCol w:w="1152"/>
        <w:gridCol w:w="115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Strand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Total Reads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1,437,273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67.4%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14.3%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271,392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12.7%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-,+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72hpi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0.2%</w:t>
            </w:r>
          </w:p>
        </w:tc>
      </w:tr>
    </w:tbl>
    <w:p>
      <w:r>
        <w:br w:type="page"/>
      </w:r>
    </w:p>
    <w:bookmarkEnd w:id="23"/>
    <w:bookmarkStart w:id="24" w:name="supplementary-pcr-methods"/>
    <w:p>
      <w:pPr>
        <w:pStyle w:val="Heading2"/>
      </w:pPr>
      <w:r>
        <w:t xml:space="preserve">Supplementary PCR Methods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Agarose Gels Showing PCR Amplification of THEV cDNA With Gene-Specific Primers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1584"/>
        <w:gridCol w:w="1584"/>
        <w:gridCol w:w="1656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Transcript 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Number of Exons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Full Transcript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Exon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Forward Primer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Reverse Primer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7"/>
                <w:szCs w:val="7"/>
                <w:color w:val="000000"/>
              </w:rPr>
              <w:t xml:space="preserve">Agarose Gel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1616-1655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CCCggtaccTTCTGTTTGAATTGTGGGCGG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54-1655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CCCggtaccGAGGCCTGTTGGAATTGTTGC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225-2325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225-304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1964-2325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CCCggtacCATTTCCCGTACACGGTGTTG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3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271-2303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271-304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1616-2303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CCCggtaccGTCATCACAACTGACCTTGTCGTC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CCCtctagaCGTCCAGTAGTCAGGAATTCTAGTG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Not Validated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6206-6878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6206-6551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6843-6878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CCCggtacCCTTTAAAATCAAGCCTATTGGTCTTGTAAC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CCCtctagaGTGTCATTGTCTACGCTGTTGTAGTAG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16973-18751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16973-18087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CCCtctagaGAACCCAGATATTGGCTCCAAGG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2334-7062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CCCggtacCTAGTGGCAGTGTTCGAAGATTCC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CCCtctagaCATTGCAGGTATGAATTGCGGAGTAG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3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3615-8543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CCCtctagaCATTGAATAGATAAGCGTAGCCAATCAGC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6or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2334-8543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10981-11079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18159-18189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18684-18751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CCCggtacCTGTTGCTGAGACTTCGGACC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CCCtctagaCATTGAATAGATAAGCGTAGCCAATCAGC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6or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2or10j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3or29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18234-22116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18234-18350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4or11j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III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18237-23702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18237-18350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CCCtctagaGGTAGCACATACTGTATTGCCTGAAGC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20419-23884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CCCggtaccGTCCGAAGTCTCAGCAACAGATTC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6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18727-18768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22492-25168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CCCggtaccGTCCGAAGTCTCAGCAACAGATTC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CCCtctagaTGCAATGCTAATCCTCCTGCTG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18230-18350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CCCggtacCTGAGGAGGTCGTAGACTCTGC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3or29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IV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25192-26247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25192-25701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26055-26247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CCCggtaccGGACACGTGTTCGTTAGAGAACC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CCCtctagaCAGTGCAATCCGACGCTCTG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2334-3447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3615-3678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CCCggtaccTCTGGTGAGATCTTCCAAACAGAAAG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CCCtctagaCGCAACCTGTAGGTCCGATTAC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5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CCCtctagaCCTACTCTACGTCTCTTAGCAGC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0or9_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13610-18350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CCCtctagaGCTTCAGTATTAGCAGCTGCACAACC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4or11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VI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22492-25168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CCCtctagaTTTCCAGCTGAAGCCTGGAG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2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4279-22116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4279-4360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18717-18768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20419-22116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CCCtctagaGCCAAGCTTGGTCAGGTGAC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3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4304-16870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4304-4360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13610-16870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CCCtctagaGCTTCAGTATTAGCAGCTGCACAACC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4or11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9430-12709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CCCtctagaGCCTGTCCAACAACCTGC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6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11001-12709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CTCCCCATCTAGACCTTTCATCTAACTG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7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6934-6969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12238-12709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CCCggtaccGGATCTCCAGATTCTGGTCTGTG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CCCtctagaGTTCTCCGTCTTCTACGTCGTG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7401-7836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7401-7531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N/A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7765-16856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7765-7807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12466-16856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CCCggtaccGAGGATTTGAAGCCAATTATCCTTCAACG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CCCtctagaCTGCAGGCACAACAGGTG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20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4226-10549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8570-10549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CCCtctagaCCTATCATCTGGCAATTCCGGTATG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8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TRXPT_9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MLP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4226-20484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4226-4360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7454-7531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7754-7807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12238-18768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20162-20223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20419-20484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CCCggtaccGCTCATCATCCAGTTCTAAATTTCTCTCTGC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6"/>
                <w:szCs w:val="6"/>
                <w:color w:val="000000"/>
              </w:rPr>
              <w:t xml:space="preserve">CCCtctagaCCTACTCTACGTCTCTTAGCAGC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6"/>
                <w:szCs w:val="6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1005840" cy="914400"/>
                  <wp:docPr id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wet_lab_validation/validation_gels/trxpt_10or9_j1_gel.png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" cy="12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1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first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terminal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Primer binds inside fourth exon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TRXPT_7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last 3 exons of TRXPT_10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last 4 exons of TRXPT_11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IV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dentical to TRXPT_23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TRXPT_9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7"/>
                <w:szCs w:val="7"/>
                <w:color w:val="000000"/>
              </w:rPr>
              <w:t xml:space="preserve">VI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Agarose gel identical to TRXPT_14 due to identical splicing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7"/>
                <w:szCs w:val="7"/>
                <w:color w:val="000000"/>
              </w:rPr>
              <w:t xml:space="preserve">; </w:t>
            </w:r>
          </w:p>
        </w:tc>
      </w:tr>
    </w:tbl>
    <w:p>
      <w:pPr>
        <w:pStyle w:val="FirstParagraph"/>
      </w:pPr>
      <w:r>
        <w:t xml:space="preserve">In the table above, the restriction sites in the primer tails are shown in lowercase letters. All the primer melting temperatures (TMs) are 58-60</w:t>
      </w:r>
      <w:r>
        <w:rPr>
          <w:vertAlign w:val="superscript"/>
        </w:rPr>
        <w:t xml:space="preserve">o</w:t>
      </w:r>
      <w:r>
        <w:t xml:space="preserve">C using a hot start Taq DNA polymerase. The PCR reaction mix was done per manufacturer’s instructions. The PCR cycling conditions were as follows: Initial denaturation – 95</w:t>
      </w:r>
      <w:r>
        <w:rPr>
          <w:vertAlign w:val="superscript"/>
        </w:rPr>
        <w:t xml:space="preserve">o</w:t>
      </w:r>
      <w:r>
        <w:t xml:space="preserve">C for 1 minute; cyclical denaturation – 95</w:t>
      </w:r>
      <w:r>
        <w:rPr>
          <w:vertAlign w:val="superscript"/>
        </w:rPr>
        <w:t xml:space="preserve">o</w:t>
      </w:r>
      <w:r>
        <w:t xml:space="preserve">C for 30 seconds, annealing – variable temperature (at least 53</w:t>
      </w:r>
      <w:r>
        <w:rPr>
          <w:vertAlign w:val="superscript"/>
        </w:rPr>
        <w:t xml:space="preserve">o</w:t>
      </w:r>
      <w:r>
        <w:t xml:space="preserve">C) for 30 seconds, primer extension – 68</w:t>
      </w:r>
      <w:r>
        <w:rPr>
          <w:vertAlign w:val="superscript"/>
        </w:rPr>
        <w:t xml:space="preserve">o</w:t>
      </w:r>
      <w:r>
        <w:t xml:space="preserve">C for variable time, and final elongation – 68</w:t>
      </w:r>
      <w:r>
        <w:rPr>
          <w:vertAlign w:val="superscript"/>
        </w:rPr>
        <w:t xml:space="preserve">o</w:t>
      </w:r>
      <w:r>
        <w:t xml:space="preserve">C for 5 minutes. We used 35 cycles of amplification.</w:t>
      </w:r>
    </w:p>
    <w:bookmarkEnd w:id="24"/>
    <w:bookmarkStart w:id="28" w:name="supplementary-computational-analysis"/>
    <w:p>
      <w:pPr>
        <w:pStyle w:val="Heading2"/>
      </w:pPr>
      <w:r>
        <w:t xml:space="preserve">Supplementary Computational Analysis</w:t>
      </w:r>
    </w:p>
    <w:p>
      <w:pPr>
        <w:pStyle w:val="FirstParagraph"/>
      </w:pPr>
      <w:r>
        <w:rPr>
          <w:rStyle w:val="VerbatimChar"/>
        </w:rPr>
        <w:t xml:space="preserve">Snakemake v7.24.0</w:t>
      </w:r>
      <w:r>
        <w:t xml:space="preserve"> </w:t>
      </w:r>
      <w:r>
        <w:t xml:space="preserve">was used to manage our entire workflow. A graph of the main steps in our pipeline generated with</w:t>
      </w:r>
      <w:r>
        <w:t xml:space="preserve"> </w:t>
      </w:r>
      <w:r>
        <w:rPr>
          <w:rStyle w:val="VerbatimChar"/>
        </w:rPr>
        <w:t xml:space="preserve">Snakemake</w:t>
      </w:r>
      <w:r>
        <w:t xml:space="preserve"> </w:t>
      </w:r>
      <w:r>
        <w:t xml:space="preserve">is shown below. Our trimmed RNA-seq reads were mapped to the genome of</w:t>
      </w:r>
      <w:r>
        <w:t xml:space="preserve"> </w:t>
      </w:r>
      <w:r>
        <w:rPr>
          <w:iCs/>
          <w:i/>
        </w:rPr>
        <w:t xml:space="preserve">M. gallopavo</w:t>
      </w:r>
      <w:r>
        <w:t xml:space="preserve"> </w:t>
      </w:r>
      <w:r>
        <w:t xml:space="preserve">(with THEV’s genome as one of its chromosomes) using</w:t>
      </w:r>
      <w:r>
        <w:t xml:space="preserve"> </w:t>
      </w:r>
      <w:r>
        <w:rPr>
          <w:rStyle w:val="VerbatimChar"/>
        </w:rPr>
        <w:t xml:space="preserve">Hisat2</w:t>
      </w:r>
      <w:r>
        <w:t xml:space="preserve">, to generate the alignment (BAM) files and</w:t>
      </w:r>
      <w:r>
        <w:t xml:space="preserve"> </w:t>
      </w:r>
      <w:r>
        <w:rPr>
          <w:rStyle w:val="VerbatimChar"/>
        </w:rPr>
        <w:t xml:space="preserve">StringTie</w:t>
      </w:r>
      <w:r>
        <w:t xml:space="preserve"> </w:t>
      </w:r>
      <w:r>
        <w:t xml:space="preserve">used to assemble the transcriptome with a</w:t>
      </w:r>
      <w:r>
        <w:t xml:space="preserve"> </w:t>
      </w:r>
      <w:r>
        <w:rPr>
          <w:rStyle w:val="VerbatimChar"/>
        </w:rPr>
        <w:t xml:space="preserve">GTF</w:t>
      </w:r>
      <w:r>
        <w:t xml:space="preserve"> </w:t>
      </w:r>
      <w:r>
        <w:t xml:space="preserve">annotation file containing the predicted THEV ORFs as a guide. The</w:t>
      </w:r>
      <w:r>
        <w:t xml:space="preserve"> </w:t>
      </w:r>
      <w:r>
        <w:rPr>
          <w:rStyle w:val="VerbatimChar"/>
        </w:rPr>
        <w:t xml:space="preserve">GTF</w:t>
      </w:r>
      <w:r>
        <w:t xml:space="preserve"> </w:t>
      </w:r>
      <w:r>
        <w:t xml:space="preserve">annotation file was derived from a</w:t>
      </w:r>
      <w:r>
        <w:t xml:space="preserve"> </w:t>
      </w:r>
      <w:r>
        <w:rPr>
          <w:rStyle w:val="VerbatimChar"/>
        </w:rPr>
        <w:t xml:space="preserve">GFF3</w:t>
      </w:r>
      <w:r>
        <w:t xml:space="preserve"> </w:t>
      </w:r>
      <w:r>
        <w:t xml:space="preserve">annotation file obtained from NCBI using</w:t>
      </w:r>
      <w:r>
        <w:t xml:space="preserve"> </w:t>
      </w:r>
      <w:r>
        <w:rPr>
          <w:rStyle w:val="VerbatimChar"/>
        </w:rPr>
        <w:t xml:space="preserve">Agat - version 1.0.0</w:t>
      </w:r>
      <w:r>
        <w:t xml:space="preserve">, a program for converting between many different file formats used in bioinformatics. However, the NCBI</w:t>
      </w:r>
      <w:r>
        <w:t xml:space="preserve"> </w:t>
      </w:r>
      <w:r>
        <w:rPr>
          <w:rStyle w:val="VerbatimChar"/>
        </w:rPr>
        <w:t xml:space="preserve">GFF3</w:t>
      </w:r>
      <w:r>
        <w:t xml:space="preserve"> </w:t>
      </w:r>
      <w:r>
        <w:t xml:space="preserve">annotation file itself was first modified to remove all unimportant features, leaving only the ORFs.</w:t>
      </w:r>
    </w:p>
    <w:p>
      <w:pPr>
        <w:pStyle w:val="BodyText"/>
      </w:pPr>
      <w:r>
        <w:rPr>
          <w:rStyle w:val="VerbatimChar"/>
        </w:rPr>
        <w:t xml:space="preserve">StringTie</w:t>
      </w:r>
      <w:r>
        <w:t xml:space="preserve"> </w:t>
      </w:r>
      <w:r>
        <w:t xml:space="preserve">was also used to estimate the normalized expression levels (FPKM) of all the transcripts and</w:t>
      </w:r>
      <w:r>
        <w:t xml:space="preserve"> </w:t>
      </w:r>
      <w:r>
        <w:rPr>
          <w:rStyle w:val="VerbatimChar"/>
        </w:rPr>
        <w:t xml:space="preserve">Ballgown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was used to perform statistical analysis and comparisons of the transcript expression levels, which instructive in understanding the temporal regulation THEV gene expression.</w:t>
      </w:r>
    </w:p>
    <w:p>
      <w:pPr>
        <w:pStyle w:val="BodyText"/>
      </w:pPr>
      <w:r>
        <w:t xml:space="preserve">In these steps above, each sample (replicate of each time point) was processed independently and merged only in the final transcriptome assembly or during analysis with</w:t>
      </w:r>
      <w:r>
        <w:t xml:space="preserve"> </w:t>
      </w:r>
      <w:r>
        <w:rPr>
          <w:rStyle w:val="VerbatimChar"/>
        </w:rPr>
        <w:t xml:space="preserve">Ballgown</w:t>
      </w:r>
      <w:r>
        <w:t xml:space="preserve">. In the subsequent steps described below, all samples for each time point were processed together.</w:t>
      </w:r>
    </w:p>
    <w:p>
      <w:pPr>
        <w:pStyle w:val="BodyText"/>
      </w:pPr>
      <w:r>
        <w:t xml:space="preserve">We used</w:t>
      </w:r>
      <w:r>
        <w:t xml:space="preserve"> </w:t>
      </w:r>
      <w:r>
        <w:rPr>
          <w:rStyle w:val="VerbatimChar"/>
        </w:rPr>
        <w:t xml:space="preserve">RegTools</w:t>
      </w:r>
      <w:r>
        <w:t xml:space="preserve"> </w:t>
      </w:r>
      <w:r>
        <w:t xml:space="preserve">to extract and analyze the splice junctions in the BAM files. The command</w:t>
      </w:r>
      <w:r>
        <w:t xml:space="preserve"> </w:t>
      </w:r>
      <w:r>
        <w:rPr>
          <w:rStyle w:val="VerbatimChar"/>
        </w:rPr>
        <w:t xml:space="preserve">regtools junctions extract</w:t>
      </w:r>
      <w:r>
        <w:t xml:space="preserve"> </w:t>
      </w:r>
      <w:r>
        <w:t xml:space="preserve">provides a wealth of information about all the splice sites in the BAM file provided such as: the start and end positions, the strand, and number of reads supporting the splice junctions. The command</w:t>
      </w:r>
      <w:r>
        <w:t xml:space="preserve"> </w:t>
      </w:r>
      <w:r>
        <w:rPr>
          <w:rStyle w:val="VerbatimChar"/>
        </w:rPr>
        <w:t xml:space="preserve">regtools junctions annotate</w:t>
      </w:r>
      <w:r>
        <w:t xml:space="preserve"> </w:t>
      </w:r>
      <w:r>
        <w:t xml:space="preserve">gives even more information such as: the splice site donor-acceptor sequences and transcripts/genes that overlap the junction. These information was the basis for estimating and comparing the splicing activity of different regions (TUs) of THEV over time. Also,</w:t>
      </w:r>
      <w:r>
        <w:t xml:space="preserve"> </w:t>
      </w:r>
      <w:r>
        <w:rPr>
          <w:rStyle w:val="VerbatimChar"/>
        </w:rPr>
        <w:t xml:space="preserve">Samtools</w:t>
      </w:r>
      <w:r>
        <w:t xml:space="preserve"> </w:t>
      </w:r>
      <w:r>
        <w:t xml:space="preserve">was also used to count the total sequencing reads for all replicates at each time point.</w:t>
      </w:r>
      <w:r>
        <w:t xml:space="preserve"> </w:t>
      </w:r>
      <w:r>
        <w:drawing>
          <wp:inline>
            <wp:extent cx="5334000" cy="813394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roject_map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3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0" Target="mailto:brian_poole@by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brian_poole@by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Materials: Elucidating the Transcriptome of Turkey Hemorrhagic Enteritis Virus</dc:title>
  <dc:creator/>
  <cp:keywords/>
  <dcterms:created xsi:type="dcterms:W3CDTF">2024-01-26T11:56:42Z</dcterms:created>
  <dcterms:modified xsi:type="dcterms:W3CDTF">2024-01-26T11:56:42Z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font-size">
    <vt:lpwstr>11pt</vt:lpwstr>
  </property>
  <property fmtid="{D5CDD505-2E9C-101B-9397-08002B2CF9AE}" pid="4" name="geometry">
    <vt:lpwstr>margin=1in</vt:lpwstr>
  </property>
  <property fmtid="{D5CDD505-2E9C-101B-9397-08002B2CF9AE}" pid="5" name="header-includes">
    <vt:lpwstr/>
  </property>
  <property fmtid="{D5CDD505-2E9C-101B-9397-08002B2CF9AE}" pid="6" name="output">
    <vt:lpwstr/>
  </property>
</Properties>
</file>