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16"/>
        </w:rPr>
        <w:t>CLEF 2026 Working Notes, 22–26 September 2026, Thessaloniki, Greece</w:t>
      </w:r>
    </w:p>
    <w:p>
      <w:pPr>
        <w:jc w:val="center"/>
      </w:pPr>
      <w:r>
        <w:rPr>
          <w:rFonts w:ascii="Times New Roman" w:hAnsi="Times New Roman"/>
          <w:i/>
          <w:sz w:val="14"/>
        </w:rPr>
        <w:t>Copyright for this paper by its authors. Use permitted under Creative Commons License Attribution 4.0 International (CC BY 4.0).</w:t>
      </w:r>
    </w:p>
    <w:p/>
    <w:p>
      <w:pPr>
        <w:jc w:val="center"/>
      </w:pPr>
      <w:r>
        <w:rPr>
          <w:rFonts w:ascii="Times New Roman" w:hAnsi="Times New Roman"/>
          <w:b/>
          <w:sz w:val="28"/>
        </w:rPr>
        <w:t>Team fosuai at PAN 2026: Query-Chunk Provenance Modeling for Source Retrieval in Generative Plagiarism Detection</w:t>
      </w:r>
    </w:p>
    <w:p>
      <w:pPr>
        <w:jc w:val="center"/>
      </w:pPr>
      <w:r>
        <w:rPr>
          <w:rFonts w:ascii="Times New Roman" w:hAnsi="Times New Roman"/>
          <w:i/>
          <w:sz w:val="22"/>
        </w:rPr>
        <w:t>Notebook for the PAN Lab at CLEF 2026</w:t>
      </w:r>
    </w:p>
    <w:p>
      <w:pPr>
        <w:jc w:val="center"/>
      </w:pPr>
      <w:r>
        <w:rPr>
          <w:rFonts w:ascii="Times New Roman" w:hAnsi="Times New Roman"/>
          <w:sz w:val="20"/>
        </w:rPr>
        <w:t>Yi Wang[0009-0000-0000-0000]¹  Zhongyuan Han[0009-0000-0000-0000]¹(✉)</w:t>
      </w:r>
    </w:p>
    <w:p>
      <w:pPr>
        <w:jc w:val="center"/>
      </w:pPr>
      <w:r>
        <w:rPr>
          <w:rFonts w:ascii="Times New Roman" w:hAnsi="Times New Roman"/>
          <w:sz w:val="18"/>
        </w:rPr>
        <w:t>¹ Foshan University, School of Computer Science and Artificial Intelligence, Foshan 528000, China</w:t>
      </w:r>
    </w:p>
    <w:p>
      <w:pPr>
        <w:jc w:val="center"/>
      </w:pPr>
      <w:r>
        <w:rPr>
          <w:rFonts w:ascii="Times New Roman" w:hAnsi="Times New Roman"/>
          <w:sz w:val="18"/>
        </w:rPr>
        <w:t>✉ Corresponding author: wangyi0187@icloud.com</w:t>
      </w:r>
    </w:p>
    <w:p/>
    <w:p>
      <w:r>
        <w:rPr>
          <w:rFonts w:ascii="Times New Roman" w:hAnsi="Times New Roman"/>
          <w:b/>
          <w:sz w:val="20"/>
        </w:rPr>
        <w:t>Abstract</w:t>
      </w:r>
    </w:p>
    <w:p>
      <w:pPr>
        <w:ind w:firstLine="283"/>
      </w:pPr>
      <w:r>
        <w:rPr>
          <w:rFonts w:ascii="Times New Roman" w:hAnsi="Times New Roman"/>
          <w:sz w:val="18"/>
        </w:rPr>
        <w:t>Generative plagiarism detection faces a fundamental challenge: suspicious texts generated by LLMs often synthesize content from multiple distinct sources, diluting the multi-source provenance signal in traditional document-level retrieval. We propose a Query-Chunk Provenance Modeling approach that decomposes the suspicious document into paragraph-level semantic segments, retrieves candidate sources independently per segment via BM25, and aggregates results through coverage-weighted voting to construct an explicit provenance graph. On PAN25-to-PAN26 development data, our method consistently outperforms standard BM25 (holdout R@10 0.9947 vs 0.9804, MRR 0.9724 vs 0.9174). On the official PAN26 main test set, our system (team fosuai, software oscillating-list) achieved RR=0.9350 (ranked 3rd) and improved over the BM25 baseline on Recall@10 and nDCG@10. The method is lightweight, requiring only numpy and the Python standard library.</w:t>
      </w:r>
    </w:p>
    <w:p>
      <w:r>
        <w:rPr>
          <w:rFonts w:ascii="Times New Roman" w:hAnsi="Times New Roman"/>
          <w:b/>
          <w:sz w:val="18"/>
        </w:rPr>
        <w:t xml:space="preserve">Keywords: </w:t>
      </w:r>
      <w:r>
        <w:rPr>
          <w:rFonts w:ascii="Times New Roman" w:hAnsi="Times New Roman"/>
          <w:sz w:val="18"/>
        </w:rPr>
        <w:t>Generative Plagiarism Detection · Source Retrieval · Query Segmentation · Provenance Modeling · BM25 · Coverage-Weighted Voting</w:t>
      </w:r>
    </w:p>
    <w:p>
      <w:pPr>
        <w:spacing w:before="160"/>
      </w:pPr>
      <w:r>
        <w:rPr>
          <w:rFonts w:ascii="Times New Roman" w:hAnsi="Times New Roman"/>
          <w:b/>
          <w:sz w:val="22"/>
        </w:rPr>
        <w:t>1 Introduction</w:t>
      </w:r>
    </w:p>
    <w:p>
      <w:pPr>
        <w:spacing w:line="264" w:lineRule="auto"/>
        <w:ind w:firstLine="283"/>
      </w:pPr>
      <w:r>
        <w:rPr>
          <w:rFonts w:ascii="Times New Roman" w:hAnsi="Times New Roman"/>
          <w:sz w:val="18"/>
        </w:rPr>
        <w:t>The rapid advancement of Large Language Models (LLMs) has introduced a new form of academic misconduct: generative multi-source plagiarism, where an LLM synthesizes, recombines, and rewrites content from dozens of source documents into a single suspicious text. PAN@CLEF 2026 Task 4 on Generative Plagiarism Detection addresses this challenge through two stages: (1) Source Retrieval — identify the set of source documents for a given suspicious document from a large corpus; and (2) Text Alignment — precisely localize plagiarized passages at character level. This paper focuses on Stage 1.</w:t>
      </w:r>
    </w:p>
    <w:p>
      <w:pPr>
        <w:spacing w:line="264" w:lineRule="auto"/>
        <w:ind w:firstLine="283"/>
      </w:pPr>
      <w:r>
        <w:rPr>
          <w:rFonts w:ascii="Times New Roman" w:hAnsi="Times New Roman"/>
          <w:sz w:val="18"/>
        </w:rPr>
        <w:t>Existing source retrieval methods predominantly adopt a document-level querying paradigm: the entire suspicious document is treated as a single query, and a relevance score is computed against each candidate document. While effective for single-source plagiarism, this paradigm suffers from multi-source signal dilution — when a suspicious text composites content from Source A's introduction, Source B's methodology, and Source C's results, the query signal becomes a noisy mixture of multiple provenance fingerprints, causing any individual source's signal to be diluted.</w:t>
      </w:r>
    </w:p>
    <w:p>
      <w:pPr>
        <w:spacing w:line="264" w:lineRule="auto"/>
        <w:ind w:firstLine="283"/>
      </w:pPr>
      <w:r>
        <w:rPr>
          <w:rFonts w:ascii="Times New Roman" w:hAnsi="Times New Roman"/>
          <w:sz w:val="18"/>
        </w:rPr>
        <w:t>We propose Query-Chunk Provenance Modeling to address this limitation. The suspicious document is decomposed into paragraph-level segments, each independently retrieving candidate sources via BM25. A coverage-weighted voting mechanism then aggregates segment-level results into a provenance graph, rewarding documents consistently matched by multiple independent segments. Our method requires only numpy and the Python standard library, and has been successfully deployed as a Docker submission to TIRA.</w:t>
      </w:r>
    </w:p>
    <w:p>
      <w:pPr>
        <w:spacing w:before="160"/>
      </w:pPr>
      <w:r>
        <w:rPr>
          <w:rFonts w:ascii="Times New Roman" w:hAnsi="Times New Roman"/>
          <w:b/>
          <w:sz w:val="22"/>
        </w:rPr>
        <w:t>2 Method</w:t>
      </w:r>
    </w:p>
    <w:p>
      <w:pPr>
        <w:spacing w:line="264" w:lineRule="auto"/>
        <w:ind w:firstLine="283"/>
      </w:pPr>
      <w:r>
        <w:rPr>
          <w:rFonts w:ascii="Times New Roman" w:hAnsi="Times New Roman"/>
          <w:sz w:val="18"/>
        </w:rPr>
        <w:t>Given a source corpus C = {d₁, ..., d_N} (N=60,592 academic documents) and a suspicious document q, the source retrieval task aims to retrieve a ranked list R(q) such that the true source d*(q) ranks as high as possible. Our method operates in three stages:</w:t>
      </w:r>
    </w:p>
    <w:p>
      <w:pPr>
        <w:spacing w:line="264" w:lineRule="auto"/>
        <w:ind w:firstLine="283"/>
      </w:pPr>
      <w:r>
        <w:rPr>
          <w:rFonts w:ascii="Times New Roman" w:hAnsi="Times New Roman"/>
          <w:sz w:val="18"/>
        </w:rPr>
        <w:t>Paragraph-Level Query Segmentation. The suspicious document is split by paragraph boundaries and merged into chunks of 800–3,000 characters (capped at 20 chunks). This produces semantically coherent segments roughly corresponding to academic document structure.</w:t>
      </w:r>
    </w:p>
    <w:p>
      <w:pPr>
        <w:spacing w:line="264" w:lineRule="auto"/>
        <w:ind w:firstLine="283"/>
      </w:pPr>
      <w:r>
        <w:rPr>
          <w:rFonts w:ascii="Times New Roman" w:hAnsi="Times New Roman"/>
          <w:sz w:val="18"/>
        </w:rPr>
        <w:t>Independent Segment Retrieval. Each segment cᵢ independently performs BM25 retrieval with optimized parameters (max_terms=20, max_df=5,000) to obtain top-50 candidate sources per segment. The max_df threshold filters out high-frequency terms with excessively long posting lists, achieving a ~20x speedup.</w:t>
      </w:r>
    </w:p>
    <w:p>
      <w:pPr>
        <w:spacing w:line="264" w:lineRule="auto"/>
        <w:ind w:firstLine="283"/>
      </w:pPr>
      <w:r>
        <w:rPr>
          <w:rFonts w:ascii="Times New Roman" w:hAnsi="Times New Roman"/>
          <w:sz w:val="18"/>
        </w:rPr>
        <w:t>Coverage-Weighted Source Voting. Segment-level rankings are aggregated via: Score(d) = Σᵢ BM25(d|cᵢ) × (1 + count(d)/n), where count(d) is the number of segments that retrieved document d. The coverage bonus rewards documents matched by multiple independent segments — a strong signal of genuine multi-paragraph provenance.</w:t>
      </w:r>
    </w:p>
    <w:p>
      <w:pPr>
        <w:spacing w:before="160"/>
      </w:pPr>
      <w:r>
        <w:rPr>
          <w:rFonts w:ascii="Times New Roman" w:hAnsi="Times New Roman"/>
          <w:b/>
          <w:sz w:val="22"/>
        </w:rPr>
        <w:t>3 Experiments</w:t>
      </w:r>
    </w:p>
    <w:p>
      <w:pPr>
        <w:spacing w:line="264" w:lineRule="auto"/>
        <w:ind w:firstLine="283"/>
      </w:pPr>
      <w:r>
        <w:rPr>
          <w:rFonts w:ascii="Times New Roman" w:hAnsi="Times New Roman"/>
          <w:sz w:val="18"/>
        </w:rPr>
        <w:t>Development data: PAN25 training set converted to PAN26 format (60,592 source documents, 42,444 queries). We evaluate on the full training set, two random 800/1,200-query samples (seed=20260520), and a held-out validation set (7,949 documents, 5,522 queries). The PAN26 official main test set results are from TIRA (accessed May 25, 2026). Metrics: Recall@K, nDCG@K, MRR, and RR evaluated via scripts/evaluate.py.</w:t>
      </w:r>
    </w:p>
    <w:p>
      <w:pPr>
        <w:spacing w:line="264" w:lineRule="auto"/>
        <w:ind w:firstLine="283"/>
      </w:pPr>
      <w:r>
        <w:rPr>
          <w:rFonts w:ascii="Times New Roman" w:hAnsi="Times New Roman"/>
          <w:sz w:val="18"/>
        </w:rPr>
        <w:t>Table 1 reports development data results. The paragraph segmentation strategy consistently outperforms standard BM25 across all evaluation configurations, with the largest relative gains observed in MRR (indicating that coverage-weighted voting effectively promotes true sources to top ranks).</w:t>
      </w:r>
    </w:p>
    <w:p>
      <w:r>
        <w:rPr>
          <w:rFonts w:ascii="Times New Roman" w:hAnsi="Times New Roman"/>
          <w:b/>
          <w:sz w:val="18"/>
        </w:rPr>
        <w:t>Table 1: Development data method overview</w:t>
      </w:r>
    </w:p>
    <w:tbl>
      <w:tblPr>
        <w:tblStyle w:val="TableGrid"/>
        <w:tblW w:type="auto" w:w="0"/>
        <w:tblLook w:firstColumn="1" w:firstRow="1" w:lastColumn="0" w:lastRow="0" w:noHBand="0" w:noVBand="1" w:val="04A0"/>
      </w:tblPr>
      <w:tblGrid>
        <w:gridCol w:w="1663"/>
        <w:gridCol w:w="1663"/>
        <w:gridCol w:w="1663"/>
        <w:gridCol w:w="1663"/>
        <w:gridCol w:w="1663"/>
        <w:gridCol w:w="1663"/>
      </w:tblGrid>
      <w:tr>
        <w:tc>
          <w:tcPr>
            <w:tcW w:type="dxa" w:w="1663"/>
          </w:tcPr>
          <w:p>
            <w:r>
              <w:rPr>
                <w:rFonts w:ascii="Times New Roman" w:hAnsi="Times New Roman"/>
                <w:b/>
                <w:sz w:val="16"/>
              </w:rPr>
              <w:t>Method</w:t>
            </w:r>
          </w:p>
        </w:tc>
        <w:tc>
          <w:tcPr>
            <w:tcW w:type="dxa" w:w="1663"/>
          </w:tcPr>
          <w:p>
            <w:r>
              <w:rPr>
                <w:rFonts w:ascii="Times New Roman" w:hAnsi="Times New Roman"/>
                <w:b/>
                <w:sz w:val="16"/>
              </w:rPr>
              <w:t>R@10</w:t>
            </w:r>
          </w:p>
        </w:tc>
        <w:tc>
          <w:tcPr>
            <w:tcW w:type="dxa" w:w="1663"/>
          </w:tcPr>
          <w:p>
            <w:r>
              <w:rPr>
                <w:rFonts w:ascii="Times New Roman" w:hAnsi="Times New Roman"/>
                <w:b/>
                <w:sz w:val="16"/>
              </w:rPr>
              <w:t>R@100</w:t>
            </w:r>
          </w:p>
        </w:tc>
        <w:tc>
          <w:tcPr>
            <w:tcW w:type="dxa" w:w="1663"/>
          </w:tcPr>
          <w:p>
            <w:r>
              <w:rPr>
                <w:rFonts w:ascii="Times New Roman" w:hAnsi="Times New Roman"/>
                <w:b/>
                <w:sz w:val="16"/>
              </w:rPr>
              <w:t>nDCG@10</w:t>
            </w:r>
          </w:p>
        </w:tc>
        <w:tc>
          <w:tcPr>
            <w:tcW w:type="dxa" w:w="1663"/>
          </w:tcPr>
          <w:p>
            <w:r>
              <w:rPr>
                <w:rFonts w:ascii="Times New Roman" w:hAnsi="Times New Roman"/>
                <w:b/>
                <w:sz w:val="16"/>
              </w:rPr>
              <w:t>MRR</w:t>
            </w:r>
          </w:p>
        </w:tc>
        <w:tc>
          <w:tcPr>
            <w:tcW w:type="dxa" w:w="1663"/>
          </w:tcPr>
          <w:p>
            <w:r>
              <w:rPr>
                <w:rFonts w:ascii="Times New Roman" w:hAnsi="Times New Roman"/>
                <w:b/>
                <w:sz w:val="16"/>
              </w:rPr>
              <w:t>Scale</w:t>
            </w:r>
          </w:p>
        </w:tc>
      </w:tr>
      <w:tr>
        <w:tc>
          <w:tcPr>
            <w:tcW w:type="dxa" w:w="1663"/>
          </w:tcPr>
          <w:p>
            <w:r>
              <w:rPr>
                <w:rFonts w:ascii="Times New Roman" w:hAnsi="Times New Roman"/>
                <w:sz w:val="16"/>
              </w:rPr>
              <w:t>Std BM25</w:t>
            </w:r>
          </w:p>
        </w:tc>
        <w:tc>
          <w:tcPr>
            <w:tcW w:type="dxa" w:w="1663"/>
          </w:tcPr>
          <w:p>
            <w:r>
              <w:rPr>
                <w:rFonts w:ascii="Times New Roman" w:hAnsi="Times New Roman"/>
                <w:sz w:val="16"/>
              </w:rPr>
              <w:t>0.9196</w:t>
            </w:r>
          </w:p>
        </w:tc>
        <w:tc>
          <w:tcPr>
            <w:tcW w:type="dxa" w:w="1663"/>
          </w:tcPr>
          <w:p>
            <w:r>
              <w:rPr>
                <w:rFonts w:ascii="Times New Roman" w:hAnsi="Times New Roman"/>
                <w:sz w:val="16"/>
              </w:rPr>
              <w:t>0.9769</w:t>
            </w:r>
          </w:p>
        </w:tc>
        <w:tc>
          <w:tcPr>
            <w:tcW w:type="dxa" w:w="1663"/>
          </w:tcPr>
          <w:p>
            <w:r>
              <w:rPr>
                <w:rFonts w:ascii="Times New Roman" w:hAnsi="Times New Roman"/>
                <w:sz w:val="16"/>
              </w:rPr>
              <w:t>0.8184</w:t>
            </w:r>
          </w:p>
        </w:tc>
        <w:tc>
          <w:tcPr>
            <w:tcW w:type="dxa" w:w="1663"/>
          </w:tcPr>
          <w:p>
            <w:r>
              <w:rPr>
                <w:rFonts w:ascii="Times New Roman" w:hAnsi="Times New Roman"/>
                <w:sz w:val="16"/>
              </w:rPr>
              <w:t>0.7856</w:t>
            </w:r>
          </w:p>
        </w:tc>
        <w:tc>
          <w:tcPr>
            <w:tcW w:type="dxa" w:w="1663"/>
          </w:tcPr>
          <w:p>
            <w:r>
              <w:rPr>
                <w:rFonts w:ascii="Times New Roman" w:hAnsi="Times New Roman"/>
                <w:sz w:val="16"/>
              </w:rPr>
              <w:t>42,444q (full)</w:t>
            </w:r>
          </w:p>
        </w:tc>
      </w:tr>
      <w:tr>
        <w:tc>
          <w:tcPr>
            <w:tcW w:type="dxa" w:w="1663"/>
          </w:tcPr>
          <w:p>
            <w:r>
              <w:rPr>
                <w:rFonts w:ascii="Times New Roman" w:hAnsi="Times New Roman"/>
                <w:sz w:val="16"/>
              </w:rPr>
              <w:t>+ Query Decomp</w:t>
            </w:r>
          </w:p>
        </w:tc>
        <w:tc>
          <w:tcPr>
            <w:tcW w:type="dxa" w:w="1663"/>
          </w:tcPr>
          <w:p>
            <w:r>
              <w:rPr>
                <w:rFonts w:ascii="Times New Roman" w:hAnsi="Times New Roman"/>
                <w:sz w:val="16"/>
              </w:rPr>
              <w:t>0.9317</w:t>
            </w:r>
          </w:p>
        </w:tc>
        <w:tc>
          <w:tcPr>
            <w:tcW w:type="dxa" w:w="1663"/>
          </w:tcPr>
          <w:p>
            <w:r>
              <w:rPr>
                <w:rFonts w:ascii="Times New Roman" w:hAnsi="Times New Roman"/>
                <w:sz w:val="16"/>
              </w:rPr>
              <w:t>0.9890</w:t>
            </w:r>
          </w:p>
        </w:tc>
        <w:tc>
          <w:tcPr>
            <w:tcW w:type="dxa" w:w="1663"/>
          </w:tcPr>
          <w:p>
            <w:r>
              <w:rPr>
                <w:rFonts w:ascii="Times New Roman" w:hAnsi="Times New Roman"/>
                <w:sz w:val="16"/>
              </w:rPr>
              <w:t>0.8274</w:t>
            </w:r>
          </w:p>
        </w:tc>
        <w:tc>
          <w:tcPr>
            <w:tcW w:type="dxa" w:w="1663"/>
          </w:tcPr>
          <w:p>
            <w:r>
              <w:rPr>
                <w:rFonts w:ascii="Times New Roman" w:hAnsi="Times New Roman"/>
                <w:sz w:val="16"/>
              </w:rPr>
              <w:t>0.7937</w:t>
            </w:r>
          </w:p>
        </w:tc>
        <w:tc>
          <w:tcPr>
            <w:tcW w:type="dxa" w:w="1663"/>
          </w:tcPr>
          <w:p>
            <w:r>
              <w:rPr>
                <w:rFonts w:ascii="Times New Roman" w:hAnsi="Times New Roman"/>
                <w:sz w:val="16"/>
              </w:rPr>
              <w:t>982q (Cat1 blind)</w:t>
            </w:r>
          </w:p>
        </w:tc>
      </w:tr>
      <w:tr>
        <w:tc>
          <w:tcPr>
            <w:tcW w:type="dxa" w:w="1663"/>
          </w:tcPr>
          <w:p>
            <w:r>
              <w:rPr>
                <w:rFonts w:ascii="Times New Roman" w:hAnsi="Times New Roman"/>
                <w:sz w:val="16"/>
              </w:rPr>
              <w:t>+ E5 Chunking</w:t>
            </w:r>
          </w:p>
        </w:tc>
        <w:tc>
          <w:tcPr>
            <w:tcW w:type="dxa" w:w="1663"/>
          </w:tcPr>
          <w:p>
            <w:r>
              <w:rPr>
                <w:rFonts w:ascii="Times New Roman" w:hAnsi="Times New Roman"/>
                <w:sz w:val="16"/>
              </w:rPr>
              <w:t>0.9830</w:t>
            </w:r>
          </w:p>
        </w:tc>
        <w:tc>
          <w:tcPr>
            <w:tcW w:type="dxa" w:w="1663"/>
          </w:tcPr>
          <w:p>
            <w:r>
              <w:rPr>
                <w:rFonts w:ascii="Times New Roman" w:hAnsi="Times New Roman"/>
                <w:sz w:val="16"/>
              </w:rPr>
              <w:t>0.9917</w:t>
            </w:r>
          </w:p>
        </w:tc>
        <w:tc>
          <w:tcPr>
            <w:tcW w:type="dxa" w:w="1663"/>
          </w:tcPr>
          <w:p>
            <w:r>
              <w:rPr>
                <w:rFonts w:ascii="Times New Roman" w:hAnsi="Times New Roman"/>
                <w:sz w:val="16"/>
              </w:rPr>
              <w:t>0.8716</w:t>
            </w:r>
          </w:p>
        </w:tc>
        <w:tc>
          <w:tcPr>
            <w:tcW w:type="dxa" w:w="1663"/>
          </w:tcPr>
          <w:p>
            <w:r>
              <w:rPr>
                <w:rFonts w:ascii="Times New Roman" w:hAnsi="Times New Roman"/>
                <w:sz w:val="16"/>
              </w:rPr>
              <w:t>0.8355</w:t>
            </w:r>
          </w:p>
        </w:tc>
        <w:tc>
          <w:tcPr>
            <w:tcW w:type="dxa" w:w="1663"/>
          </w:tcPr>
          <w:p>
            <w:r>
              <w:rPr>
                <w:rFonts w:ascii="Times New Roman" w:hAnsi="Times New Roman"/>
                <w:sz w:val="16"/>
              </w:rPr>
              <w:t>42,444q (full)</w:t>
            </w:r>
          </w:p>
        </w:tc>
      </w:tr>
      <w:tr>
        <w:tc>
          <w:tcPr>
            <w:tcW w:type="dxa" w:w="1663"/>
          </w:tcPr>
          <w:p>
            <w:r>
              <w:rPr>
                <w:rFonts w:ascii="Times New Roman" w:hAnsi="Times New Roman"/>
                <w:sz w:val="16"/>
              </w:rPr>
              <w:t>Segmented BM25 (ours)*</w:t>
            </w:r>
          </w:p>
        </w:tc>
        <w:tc>
          <w:tcPr>
            <w:tcW w:type="dxa" w:w="1663"/>
          </w:tcPr>
          <w:p>
            <w:r>
              <w:rPr>
                <w:rFonts w:ascii="Times New Roman" w:hAnsi="Times New Roman"/>
                <w:sz w:val="16"/>
              </w:rPr>
              <w:t>0.9700</w:t>
            </w:r>
          </w:p>
        </w:tc>
        <w:tc>
          <w:tcPr>
            <w:tcW w:type="dxa" w:w="1663"/>
          </w:tcPr>
          <w:p>
            <w:r>
              <w:rPr>
                <w:rFonts w:ascii="Times New Roman" w:hAnsi="Times New Roman"/>
                <w:sz w:val="16"/>
              </w:rPr>
              <w:t>0.9912</w:t>
            </w:r>
          </w:p>
        </w:tc>
        <w:tc>
          <w:tcPr>
            <w:tcW w:type="dxa" w:w="1663"/>
          </w:tcPr>
          <w:p>
            <w:r>
              <w:rPr>
                <w:rFonts w:ascii="Times New Roman" w:hAnsi="Times New Roman"/>
                <w:sz w:val="16"/>
              </w:rPr>
              <w:t>0.9242</w:t>
            </w:r>
          </w:p>
        </w:tc>
        <w:tc>
          <w:tcPr>
            <w:tcW w:type="dxa" w:w="1663"/>
          </w:tcPr>
          <w:p>
            <w:r>
              <w:rPr>
                <w:rFonts w:ascii="Times New Roman" w:hAnsi="Times New Roman"/>
                <w:sz w:val="16"/>
              </w:rPr>
              <w:t>0.9092</w:t>
            </w:r>
          </w:p>
        </w:tc>
        <w:tc>
          <w:tcPr>
            <w:tcW w:type="dxa" w:w="1663"/>
          </w:tcPr>
          <w:p>
            <w:r>
              <w:rPr>
                <w:rFonts w:ascii="Times New Roman" w:hAnsi="Times New Roman"/>
                <w:sz w:val="16"/>
              </w:rPr>
              <w:t>800q (TIRA code)</w:t>
            </w:r>
          </w:p>
        </w:tc>
      </w:tr>
    </w:tbl>
    <w:p/>
    <w:p>
      <w:pPr>
        <w:spacing w:line="264" w:lineRule="auto"/>
        <w:ind w:firstLine="283"/>
      </w:pPr>
      <w:r>
        <w:rPr>
          <w:rFonts w:ascii="Times New Roman" w:hAnsi="Times New Roman"/>
          <w:sz w:val="18"/>
        </w:rPr>
        <w:t>*Segmented BM25 results from 800q sample using submit_pan26.py. Query Decomp recovered 52.3% of Cat1 blind queries. Holdout full results in Table 2.</w:t>
      </w:r>
    </w:p>
    <w:p>
      <w:r>
        <w:rPr>
          <w:rFonts w:ascii="Times New Roman" w:hAnsi="Times New Roman"/>
          <w:b/>
          <w:sz w:val="18"/>
        </w:rPr>
        <w:t>Table 2: Holdout validation (7,949 docs, 5,522 queries)</w:t>
      </w:r>
    </w:p>
    <w:tbl>
      <w:tblPr>
        <w:tblStyle w:val="TableGrid"/>
        <w:tblW w:type="auto" w:w="0"/>
        <w:tblLook w:firstColumn="1" w:firstRow="1" w:lastColumn="0" w:lastRow="0" w:noHBand="0" w:noVBand="1" w:val="04A0"/>
      </w:tblPr>
      <w:tblGrid>
        <w:gridCol w:w="1996"/>
        <w:gridCol w:w="1996"/>
        <w:gridCol w:w="1996"/>
        <w:gridCol w:w="1996"/>
        <w:gridCol w:w="1996"/>
      </w:tblGrid>
      <w:tr>
        <w:tc>
          <w:tcPr>
            <w:tcW w:type="dxa" w:w="1996"/>
          </w:tcPr>
          <w:p>
            <w:r>
              <w:rPr>
                <w:rFonts w:ascii="Times New Roman" w:hAnsi="Times New Roman"/>
                <w:b/>
                <w:sz w:val="16"/>
              </w:rPr>
              <w:t>Method</w:t>
            </w:r>
          </w:p>
        </w:tc>
        <w:tc>
          <w:tcPr>
            <w:tcW w:type="dxa" w:w="1996"/>
          </w:tcPr>
          <w:p>
            <w:r>
              <w:rPr>
                <w:rFonts w:ascii="Times New Roman" w:hAnsi="Times New Roman"/>
                <w:b/>
                <w:sz w:val="16"/>
              </w:rPr>
              <w:t>R@10</w:t>
            </w:r>
          </w:p>
        </w:tc>
        <w:tc>
          <w:tcPr>
            <w:tcW w:type="dxa" w:w="1996"/>
          </w:tcPr>
          <w:p>
            <w:r>
              <w:rPr>
                <w:rFonts w:ascii="Times New Roman" w:hAnsi="Times New Roman"/>
                <w:b/>
                <w:sz w:val="16"/>
              </w:rPr>
              <w:t>R@100</w:t>
            </w:r>
          </w:p>
        </w:tc>
        <w:tc>
          <w:tcPr>
            <w:tcW w:type="dxa" w:w="1996"/>
          </w:tcPr>
          <w:p>
            <w:r>
              <w:rPr>
                <w:rFonts w:ascii="Times New Roman" w:hAnsi="Times New Roman"/>
                <w:b/>
                <w:sz w:val="16"/>
              </w:rPr>
              <w:t>nDCG@10</w:t>
            </w:r>
          </w:p>
        </w:tc>
        <w:tc>
          <w:tcPr>
            <w:tcW w:type="dxa" w:w="1996"/>
          </w:tcPr>
          <w:p>
            <w:r>
              <w:rPr>
                <w:rFonts w:ascii="Times New Roman" w:hAnsi="Times New Roman"/>
                <w:b/>
                <w:sz w:val="16"/>
              </w:rPr>
              <w:t>MRR</w:t>
            </w:r>
          </w:p>
        </w:tc>
      </w:tr>
      <w:tr>
        <w:tc>
          <w:tcPr>
            <w:tcW w:type="dxa" w:w="1996"/>
          </w:tcPr>
          <w:p>
            <w:r>
              <w:rPr>
                <w:rFonts w:ascii="Times New Roman" w:hAnsi="Times New Roman"/>
                <w:sz w:val="16"/>
              </w:rPr>
              <w:t>Std BM25</w:t>
            </w:r>
          </w:p>
        </w:tc>
        <w:tc>
          <w:tcPr>
            <w:tcW w:type="dxa" w:w="1996"/>
          </w:tcPr>
          <w:p>
            <w:r>
              <w:rPr>
                <w:rFonts w:ascii="Times New Roman" w:hAnsi="Times New Roman"/>
                <w:sz w:val="16"/>
              </w:rPr>
              <w:t>0.9804</w:t>
            </w:r>
          </w:p>
        </w:tc>
        <w:tc>
          <w:tcPr>
            <w:tcW w:type="dxa" w:w="1996"/>
          </w:tcPr>
          <w:p>
            <w:r>
              <w:rPr>
                <w:rFonts w:ascii="Times New Roman" w:hAnsi="Times New Roman"/>
                <w:sz w:val="16"/>
              </w:rPr>
              <w:t>0.9874</w:t>
            </w:r>
          </w:p>
        </w:tc>
        <w:tc>
          <w:tcPr>
            <w:tcW w:type="dxa" w:w="1996"/>
          </w:tcPr>
          <w:p>
            <w:r>
              <w:rPr>
                <w:rFonts w:ascii="Times New Roman" w:hAnsi="Times New Roman"/>
                <w:sz w:val="16"/>
              </w:rPr>
              <w:t>0.9323</w:t>
            </w:r>
          </w:p>
        </w:tc>
        <w:tc>
          <w:tcPr>
            <w:tcW w:type="dxa" w:w="1996"/>
          </w:tcPr>
          <w:p>
            <w:r>
              <w:rPr>
                <w:rFonts w:ascii="Times New Roman" w:hAnsi="Times New Roman"/>
                <w:sz w:val="16"/>
              </w:rPr>
              <w:t>0.9174</w:t>
            </w:r>
          </w:p>
        </w:tc>
      </w:tr>
      <w:tr>
        <w:tc>
          <w:tcPr>
            <w:tcW w:type="dxa" w:w="1996"/>
          </w:tcPr>
          <w:p>
            <w:r>
              <w:rPr>
                <w:rFonts w:ascii="Times New Roman" w:hAnsi="Times New Roman"/>
                <w:sz w:val="16"/>
              </w:rPr>
              <w:t>Segmented BM25 (ours)</w:t>
            </w:r>
          </w:p>
        </w:tc>
        <w:tc>
          <w:tcPr>
            <w:tcW w:type="dxa" w:w="1996"/>
          </w:tcPr>
          <w:p>
            <w:r>
              <w:rPr>
                <w:rFonts w:ascii="Times New Roman" w:hAnsi="Times New Roman"/>
                <w:sz w:val="16"/>
              </w:rPr>
              <w:t>0.9947</w:t>
            </w:r>
          </w:p>
        </w:tc>
        <w:tc>
          <w:tcPr>
            <w:tcW w:type="dxa" w:w="1996"/>
          </w:tcPr>
          <w:p>
            <w:r>
              <w:rPr>
                <w:rFonts w:ascii="Times New Roman" w:hAnsi="Times New Roman"/>
                <w:sz w:val="16"/>
              </w:rPr>
              <w:t>0.9969</w:t>
            </w:r>
          </w:p>
        </w:tc>
        <w:tc>
          <w:tcPr>
            <w:tcW w:type="dxa" w:w="1996"/>
          </w:tcPr>
          <w:p>
            <w:r>
              <w:rPr>
                <w:rFonts w:ascii="Times New Roman" w:hAnsi="Times New Roman"/>
                <w:sz w:val="16"/>
              </w:rPr>
              <w:t>0.9770</w:t>
            </w:r>
          </w:p>
        </w:tc>
        <w:tc>
          <w:tcPr>
            <w:tcW w:type="dxa" w:w="1996"/>
          </w:tcPr>
          <w:p>
            <w:r>
              <w:rPr>
                <w:rFonts w:ascii="Times New Roman" w:hAnsi="Times New Roman"/>
                <w:sz w:val="16"/>
              </w:rPr>
              <w:t>0.9724</w:t>
            </w:r>
          </w:p>
        </w:tc>
      </w:tr>
    </w:tbl>
    <w:p/>
    <w:p>
      <w:r>
        <w:rPr>
          <w:rFonts w:ascii="Times New Roman" w:hAnsi="Times New Roman"/>
          <w:b/>
          <w:sz w:val="18"/>
        </w:rPr>
        <w:t>Table 3: Segmentation strategy comparison (holdout)</w:t>
      </w:r>
    </w:p>
    <w:tbl>
      <w:tblPr>
        <w:tblStyle w:val="TableGrid"/>
        <w:tblW w:type="auto" w:w="0"/>
        <w:tblLook w:firstColumn="1" w:firstRow="1" w:lastColumn="0" w:lastRow="0" w:noHBand="0" w:noVBand="1" w:val="04A0"/>
      </w:tblPr>
      <w:tblGrid>
        <w:gridCol w:w="1996"/>
        <w:gridCol w:w="1996"/>
        <w:gridCol w:w="1996"/>
        <w:gridCol w:w="1996"/>
        <w:gridCol w:w="1996"/>
      </w:tblGrid>
      <w:tr>
        <w:tc>
          <w:tcPr>
            <w:tcW w:type="dxa" w:w="1996"/>
          </w:tcPr>
          <w:p>
            <w:r>
              <w:rPr>
                <w:rFonts w:ascii="Times New Roman" w:hAnsi="Times New Roman"/>
                <w:b/>
                <w:sz w:val="16"/>
              </w:rPr>
              <w:t>Strategy</w:t>
            </w:r>
          </w:p>
        </w:tc>
        <w:tc>
          <w:tcPr>
            <w:tcW w:type="dxa" w:w="1996"/>
          </w:tcPr>
          <w:p>
            <w:r>
              <w:rPr>
                <w:rFonts w:ascii="Times New Roman" w:hAnsi="Times New Roman"/>
                <w:b/>
                <w:sz w:val="16"/>
              </w:rPr>
              <w:t>R@10</w:t>
            </w:r>
          </w:p>
        </w:tc>
        <w:tc>
          <w:tcPr>
            <w:tcW w:type="dxa" w:w="1996"/>
          </w:tcPr>
          <w:p>
            <w:r>
              <w:rPr>
                <w:rFonts w:ascii="Times New Roman" w:hAnsi="Times New Roman"/>
                <w:b/>
                <w:sz w:val="16"/>
              </w:rPr>
              <w:t>MRR</w:t>
            </w:r>
          </w:p>
        </w:tc>
        <w:tc>
          <w:tcPr>
            <w:tcW w:type="dxa" w:w="1996"/>
          </w:tcPr>
          <w:p>
            <w:r>
              <w:rPr>
                <w:rFonts w:ascii="Times New Roman" w:hAnsi="Times New Roman"/>
                <w:b/>
                <w:sz w:val="16"/>
              </w:rPr>
              <w:t>Segmented%</w:t>
            </w:r>
          </w:p>
        </w:tc>
        <w:tc>
          <w:tcPr>
            <w:tcW w:type="dxa" w:w="1996"/>
          </w:tcPr>
          <w:p>
            <w:r>
              <w:rPr>
                <w:rFonts w:ascii="Times New Roman" w:hAnsi="Times New Roman"/>
                <w:b/>
                <w:sz w:val="16"/>
              </w:rPr>
              <w:t>Time(s)</w:t>
            </w:r>
          </w:p>
        </w:tc>
      </w:tr>
      <w:tr>
        <w:tc>
          <w:tcPr>
            <w:tcW w:type="dxa" w:w="1996"/>
          </w:tcPr>
          <w:p>
            <w:r>
              <w:rPr>
                <w:rFonts w:ascii="Times New Roman" w:hAnsi="Times New Roman"/>
                <w:sz w:val="16"/>
              </w:rPr>
              <w:t>No segmentation (BM25)</w:t>
            </w:r>
          </w:p>
        </w:tc>
        <w:tc>
          <w:tcPr>
            <w:tcW w:type="dxa" w:w="1996"/>
          </w:tcPr>
          <w:p>
            <w:r>
              <w:rPr>
                <w:rFonts w:ascii="Times New Roman" w:hAnsi="Times New Roman"/>
                <w:sz w:val="16"/>
              </w:rPr>
              <w:t>0.9804</w:t>
            </w:r>
          </w:p>
        </w:tc>
        <w:tc>
          <w:tcPr>
            <w:tcW w:type="dxa" w:w="1996"/>
          </w:tcPr>
          <w:p>
            <w:r>
              <w:rPr>
                <w:rFonts w:ascii="Times New Roman" w:hAnsi="Times New Roman"/>
                <w:sz w:val="16"/>
              </w:rPr>
              <w:t>0.9174</w:t>
            </w:r>
          </w:p>
        </w:tc>
        <w:tc>
          <w:tcPr>
            <w:tcW w:type="dxa" w:w="1996"/>
          </w:tcPr>
          <w:p>
            <w:r>
              <w:rPr>
                <w:rFonts w:ascii="Times New Roman" w:hAnsi="Times New Roman"/>
                <w:sz w:val="16"/>
              </w:rPr>
              <w:t>-</w:t>
            </w:r>
          </w:p>
        </w:tc>
        <w:tc>
          <w:tcPr>
            <w:tcW w:type="dxa" w:w="1996"/>
          </w:tcPr>
          <w:p>
            <w:r>
              <w:rPr>
                <w:rFonts w:ascii="Times New Roman" w:hAnsi="Times New Roman"/>
                <w:sz w:val="16"/>
              </w:rPr>
              <w:t>33</w:t>
            </w:r>
          </w:p>
        </w:tc>
      </w:tr>
      <w:tr>
        <w:tc>
          <w:tcPr>
            <w:tcW w:type="dxa" w:w="1996"/>
          </w:tcPr>
          <w:p>
            <w:r>
              <w:rPr>
                <w:rFonts w:ascii="Times New Roman" w:hAnsi="Times New Roman"/>
                <w:sz w:val="16"/>
              </w:rPr>
              <w:t>Paragraph split (ours)</w:t>
            </w:r>
          </w:p>
        </w:tc>
        <w:tc>
          <w:tcPr>
            <w:tcW w:type="dxa" w:w="1996"/>
          </w:tcPr>
          <w:p>
            <w:r>
              <w:rPr>
                <w:rFonts w:ascii="Times New Roman" w:hAnsi="Times New Roman"/>
                <w:sz w:val="16"/>
              </w:rPr>
              <w:t>0.9947</w:t>
            </w:r>
          </w:p>
        </w:tc>
        <w:tc>
          <w:tcPr>
            <w:tcW w:type="dxa" w:w="1996"/>
          </w:tcPr>
          <w:p>
            <w:r>
              <w:rPr>
                <w:rFonts w:ascii="Times New Roman" w:hAnsi="Times New Roman"/>
                <w:sz w:val="16"/>
              </w:rPr>
              <w:t>0.9724</w:t>
            </w:r>
          </w:p>
        </w:tc>
        <w:tc>
          <w:tcPr>
            <w:tcW w:type="dxa" w:w="1996"/>
          </w:tcPr>
          <w:p>
            <w:r>
              <w:rPr>
                <w:rFonts w:ascii="Times New Roman" w:hAnsi="Times New Roman"/>
                <w:sz w:val="16"/>
              </w:rPr>
              <w:t>99.9%</w:t>
            </w:r>
          </w:p>
        </w:tc>
        <w:tc>
          <w:tcPr>
            <w:tcW w:type="dxa" w:w="1996"/>
          </w:tcPr>
          <w:p>
            <w:r>
              <w:rPr>
                <w:rFonts w:ascii="Times New Roman" w:hAnsi="Times New Roman"/>
                <w:sz w:val="16"/>
              </w:rPr>
              <w:t>358</w:t>
            </w:r>
          </w:p>
        </w:tc>
      </w:tr>
      <w:tr>
        <w:tc>
          <w:tcPr>
            <w:tcW w:type="dxa" w:w="1996"/>
          </w:tcPr>
          <w:p>
            <w:r>
              <w:rPr>
                <w:rFonts w:ascii="Times New Roman" w:hAnsi="Times New Roman"/>
                <w:sz w:val="16"/>
              </w:rPr>
              <w:t>Fixed chunk</w:t>
            </w:r>
          </w:p>
        </w:tc>
        <w:tc>
          <w:tcPr>
            <w:tcW w:type="dxa" w:w="1996"/>
          </w:tcPr>
          <w:p>
            <w:r>
              <w:rPr>
                <w:rFonts w:ascii="Times New Roman" w:hAnsi="Times New Roman"/>
                <w:sz w:val="16"/>
              </w:rPr>
              <w:t>0.9933</w:t>
            </w:r>
          </w:p>
        </w:tc>
        <w:tc>
          <w:tcPr>
            <w:tcW w:type="dxa" w:w="1996"/>
          </w:tcPr>
          <w:p>
            <w:r>
              <w:rPr>
                <w:rFonts w:ascii="Times New Roman" w:hAnsi="Times New Roman"/>
                <w:sz w:val="16"/>
              </w:rPr>
              <w:t>0.9705</w:t>
            </w:r>
          </w:p>
        </w:tc>
        <w:tc>
          <w:tcPr>
            <w:tcW w:type="dxa" w:w="1996"/>
          </w:tcPr>
          <w:p>
            <w:r>
              <w:rPr>
                <w:rFonts w:ascii="Times New Roman" w:hAnsi="Times New Roman"/>
                <w:sz w:val="16"/>
              </w:rPr>
              <w:t>99.9%</w:t>
            </w:r>
          </w:p>
        </w:tc>
        <w:tc>
          <w:tcPr>
            <w:tcW w:type="dxa" w:w="1996"/>
          </w:tcPr>
          <w:p>
            <w:r>
              <w:rPr>
                <w:rFonts w:ascii="Times New Roman" w:hAnsi="Times New Roman"/>
                <w:sz w:val="16"/>
              </w:rPr>
              <w:t>300</w:t>
            </w:r>
          </w:p>
        </w:tc>
      </w:tr>
      <w:tr>
        <w:tc>
          <w:tcPr>
            <w:tcW w:type="dxa" w:w="1996"/>
          </w:tcPr>
          <w:p>
            <w:r>
              <w:rPr>
                <w:rFonts w:ascii="Times New Roman" w:hAnsi="Times New Roman"/>
                <w:sz w:val="16"/>
              </w:rPr>
              <w:t>Semantic split (section)</w:t>
            </w:r>
          </w:p>
        </w:tc>
        <w:tc>
          <w:tcPr>
            <w:tcW w:type="dxa" w:w="1996"/>
          </w:tcPr>
          <w:p>
            <w:r>
              <w:rPr>
                <w:rFonts w:ascii="Times New Roman" w:hAnsi="Times New Roman"/>
                <w:sz w:val="16"/>
              </w:rPr>
              <w:t>0.9746</w:t>
            </w:r>
          </w:p>
        </w:tc>
        <w:tc>
          <w:tcPr>
            <w:tcW w:type="dxa" w:w="1996"/>
          </w:tcPr>
          <w:p>
            <w:r>
              <w:rPr>
                <w:rFonts w:ascii="Times New Roman" w:hAnsi="Times New Roman"/>
                <w:sz w:val="16"/>
              </w:rPr>
              <w:t>0.9195</w:t>
            </w:r>
          </w:p>
        </w:tc>
        <w:tc>
          <w:tcPr>
            <w:tcW w:type="dxa" w:w="1996"/>
          </w:tcPr>
          <w:p>
            <w:r>
              <w:rPr>
                <w:rFonts w:ascii="Times New Roman" w:hAnsi="Times New Roman"/>
                <w:sz w:val="16"/>
              </w:rPr>
              <w:t>51.6%</w:t>
            </w:r>
          </w:p>
        </w:tc>
        <w:tc>
          <w:tcPr>
            <w:tcW w:type="dxa" w:w="1996"/>
          </w:tcPr>
          <w:p>
            <w:r>
              <w:rPr>
                <w:rFonts w:ascii="Times New Roman" w:hAnsi="Times New Roman"/>
                <w:sz w:val="16"/>
              </w:rPr>
              <w:t>49</w:t>
            </w:r>
          </w:p>
        </w:tc>
      </w:tr>
    </w:tbl>
    <w:p/>
    <w:p>
      <w:pPr>
        <w:spacing w:line="264" w:lineRule="auto"/>
        <w:ind w:firstLine="283"/>
      </w:pPr>
      <w:r>
        <w:rPr>
          <w:rFonts w:ascii="Times New Roman" w:hAnsi="Times New Roman"/>
          <w:sz w:val="18"/>
        </w:rPr>
        <w:t>Table 3 shows that paragraph split performs best. Semantic split based on section headers degrades performance (R@10 below standard BM25), as only 51.6% of queries contain explicit section headings.</w:t>
      </w:r>
    </w:p>
    <w:p>
      <w:r>
        <w:rPr>
          <w:rFonts w:ascii="Times New Roman" w:hAnsi="Times New Roman"/>
          <w:b/>
          <w:sz w:val="18"/>
        </w:rPr>
        <w:t>Table 4: Ablation study (200 queries)</w:t>
      </w:r>
    </w:p>
    <w:tbl>
      <w:tblPr>
        <w:tblStyle w:val="TableGrid"/>
        <w:tblW w:type="auto" w:w="0"/>
        <w:tblLook w:firstColumn="1" w:firstRow="1" w:lastColumn="0" w:lastRow="0" w:noHBand="0" w:noVBand="1" w:val="04A0"/>
      </w:tblPr>
      <w:tblGrid>
        <w:gridCol w:w="1996"/>
        <w:gridCol w:w="1996"/>
        <w:gridCol w:w="1996"/>
        <w:gridCol w:w="1996"/>
        <w:gridCol w:w="1996"/>
      </w:tblGrid>
      <w:tr>
        <w:tc>
          <w:tcPr>
            <w:tcW w:type="dxa" w:w="1996"/>
          </w:tcPr>
          <w:p>
            <w:r>
              <w:rPr>
                <w:rFonts w:ascii="Times New Roman" w:hAnsi="Times New Roman"/>
                <w:b/>
                <w:sz w:val="16"/>
              </w:rPr>
              <w:t>Configuration</w:t>
            </w:r>
          </w:p>
        </w:tc>
        <w:tc>
          <w:tcPr>
            <w:tcW w:type="dxa" w:w="1996"/>
          </w:tcPr>
          <w:p>
            <w:r>
              <w:rPr>
                <w:rFonts w:ascii="Times New Roman" w:hAnsi="Times New Roman"/>
                <w:b/>
                <w:sz w:val="16"/>
              </w:rPr>
              <w:t>R@10</w:t>
            </w:r>
          </w:p>
        </w:tc>
        <w:tc>
          <w:tcPr>
            <w:tcW w:type="dxa" w:w="1996"/>
          </w:tcPr>
          <w:p>
            <w:r>
              <w:rPr>
                <w:rFonts w:ascii="Times New Roman" w:hAnsi="Times New Roman"/>
                <w:b/>
                <w:sz w:val="16"/>
              </w:rPr>
              <w:t>nDCG@10</w:t>
            </w:r>
          </w:p>
        </w:tc>
        <w:tc>
          <w:tcPr>
            <w:tcW w:type="dxa" w:w="1996"/>
          </w:tcPr>
          <w:p>
            <w:r>
              <w:rPr>
                <w:rFonts w:ascii="Times New Roman" w:hAnsi="Times New Roman"/>
                <w:b/>
                <w:sz w:val="16"/>
              </w:rPr>
              <w:t>MRR</w:t>
            </w:r>
          </w:p>
        </w:tc>
        <w:tc>
          <w:tcPr>
            <w:tcW w:type="dxa" w:w="1996"/>
          </w:tcPr>
          <w:p>
            <w:r>
              <w:rPr>
                <w:rFonts w:ascii="Times New Roman" w:hAnsi="Times New Roman"/>
                <w:b/>
                <w:sz w:val="16"/>
              </w:rPr>
              <w:t>Time/chunk(s)</w:t>
            </w:r>
          </w:p>
        </w:tc>
      </w:tr>
      <w:tr>
        <w:tc>
          <w:tcPr>
            <w:tcW w:type="dxa" w:w="1996"/>
          </w:tcPr>
          <w:p>
            <w:r>
              <w:rPr>
                <w:rFonts w:ascii="Times New Roman" w:hAnsi="Times New Roman"/>
                <w:sz w:val="16"/>
              </w:rPr>
              <w:t>(a) Standard BM25</w:t>
            </w:r>
          </w:p>
        </w:tc>
        <w:tc>
          <w:tcPr>
            <w:tcW w:type="dxa" w:w="1996"/>
          </w:tcPr>
          <w:p>
            <w:r>
              <w:rPr>
                <w:rFonts w:ascii="Times New Roman" w:hAnsi="Times New Roman"/>
                <w:sz w:val="16"/>
              </w:rPr>
              <w:t>0.900</w:t>
            </w:r>
          </w:p>
        </w:tc>
        <w:tc>
          <w:tcPr>
            <w:tcW w:type="dxa" w:w="1996"/>
          </w:tcPr>
          <w:p>
            <w:r>
              <w:rPr>
                <w:rFonts w:ascii="Times New Roman" w:hAnsi="Times New Roman"/>
                <w:sz w:val="16"/>
              </w:rPr>
              <w:t>0.805</w:t>
            </w:r>
          </w:p>
        </w:tc>
        <w:tc>
          <w:tcPr>
            <w:tcW w:type="dxa" w:w="1996"/>
          </w:tcPr>
          <w:p>
            <w:r>
              <w:rPr>
                <w:rFonts w:ascii="Times New Roman" w:hAnsi="Times New Roman"/>
                <w:sz w:val="16"/>
              </w:rPr>
              <w:t>0.775</w:t>
            </w:r>
          </w:p>
        </w:tc>
        <w:tc>
          <w:tcPr>
            <w:tcW w:type="dxa" w:w="1996"/>
          </w:tcPr>
          <w:p>
            <w:r>
              <w:rPr>
                <w:rFonts w:ascii="Times New Roman" w:hAnsi="Times New Roman"/>
                <w:sz w:val="16"/>
              </w:rPr>
              <w:t>~0.02</w:t>
            </w:r>
          </w:p>
        </w:tc>
      </w:tr>
      <w:tr>
        <w:tc>
          <w:tcPr>
            <w:tcW w:type="dxa" w:w="1996"/>
          </w:tcPr>
          <w:p>
            <w:r>
              <w:rPr>
                <w:rFonts w:ascii="Times New Roman" w:hAnsi="Times New Roman"/>
                <w:sz w:val="16"/>
              </w:rPr>
              <w:t>(b) + segmentation (max_terms=50)</w:t>
            </w:r>
          </w:p>
        </w:tc>
        <w:tc>
          <w:tcPr>
            <w:tcW w:type="dxa" w:w="1996"/>
          </w:tcPr>
          <w:p>
            <w:r>
              <w:rPr>
                <w:rFonts w:ascii="Times New Roman" w:hAnsi="Times New Roman"/>
                <w:sz w:val="16"/>
              </w:rPr>
              <w:t>0.975</w:t>
            </w:r>
          </w:p>
        </w:tc>
        <w:tc>
          <w:tcPr>
            <w:tcW w:type="dxa" w:w="1996"/>
          </w:tcPr>
          <w:p>
            <w:r>
              <w:rPr>
                <w:rFonts w:ascii="Times New Roman" w:hAnsi="Times New Roman"/>
                <w:sz w:val="16"/>
              </w:rPr>
              <w:t>0.942</w:t>
            </w:r>
          </w:p>
        </w:tc>
        <w:tc>
          <w:tcPr>
            <w:tcW w:type="dxa" w:w="1996"/>
          </w:tcPr>
          <w:p>
            <w:r>
              <w:rPr>
                <w:rFonts w:ascii="Times New Roman" w:hAnsi="Times New Roman"/>
                <w:sz w:val="16"/>
              </w:rPr>
              <w:t>0.931</w:t>
            </w:r>
          </w:p>
        </w:tc>
        <w:tc>
          <w:tcPr>
            <w:tcW w:type="dxa" w:w="1996"/>
          </w:tcPr>
          <w:p>
            <w:r>
              <w:rPr>
                <w:rFonts w:ascii="Times New Roman" w:hAnsi="Times New Roman"/>
                <w:sz w:val="16"/>
              </w:rPr>
              <w:t>1.7~3.0</w:t>
            </w:r>
          </w:p>
        </w:tc>
      </w:tr>
      <w:tr>
        <w:tc>
          <w:tcPr>
            <w:tcW w:type="dxa" w:w="1996"/>
          </w:tcPr>
          <w:p>
            <w:r>
              <w:rPr>
                <w:rFonts w:ascii="Times New Roman" w:hAnsi="Times New Roman"/>
                <w:sz w:val="16"/>
              </w:rPr>
              <w:t>(c) + max_df=5000</w:t>
            </w:r>
          </w:p>
        </w:tc>
        <w:tc>
          <w:tcPr>
            <w:tcW w:type="dxa" w:w="1996"/>
          </w:tcPr>
          <w:p>
            <w:r>
              <w:rPr>
                <w:rFonts w:ascii="Times New Roman" w:hAnsi="Times New Roman"/>
                <w:sz w:val="16"/>
              </w:rPr>
              <w:t>0.973</w:t>
            </w:r>
          </w:p>
        </w:tc>
        <w:tc>
          <w:tcPr>
            <w:tcW w:type="dxa" w:w="1996"/>
          </w:tcPr>
          <w:p>
            <w:r>
              <w:rPr>
                <w:rFonts w:ascii="Times New Roman" w:hAnsi="Times New Roman"/>
                <w:sz w:val="16"/>
              </w:rPr>
              <w:t>0.940</w:t>
            </w:r>
          </w:p>
        </w:tc>
        <w:tc>
          <w:tcPr>
            <w:tcW w:type="dxa" w:w="1996"/>
          </w:tcPr>
          <w:p>
            <w:r>
              <w:rPr>
                <w:rFonts w:ascii="Times New Roman" w:hAnsi="Times New Roman"/>
                <w:sz w:val="16"/>
              </w:rPr>
              <w:t>0.929</w:t>
            </w:r>
          </w:p>
        </w:tc>
        <w:tc>
          <w:tcPr>
            <w:tcW w:type="dxa" w:w="1996"/>
          </w:tcPr>
          <w:p>
            <w:r>
              <w:rPr>
                <w:rFonts w:ascii="Times New Roman" w:hAnsi="Times New Roman"/>
                <w:sz w:val="16"/>
              </w:rPr>
              <w:t>~0.30</w:t>
            </w:r>
          </w:p>
        </w:tc>
      </w:tr>
      <w:tr>
        <w:tc>
          <w:tcPr>
            <w:tcW w:type="dxa" w:w="1996"/>
          </w:tcPr>
          <w:p>
            <w:r>
              <w:rPr>
                <w:rFonts w:ascii="Times New Roman" w:hAnsi="Times New Roman"/>
                <w:sz w:val="16"/>
              </w:rPr>
              <w:t>(d) + max_terms=20 + heapq</w:t>
            </w:r>
          </w:p>
        </w:tc>
        <w:tc>
          <w:tcPr>
            <w:tcW w:type="dxa" w:w="1996"/>
          </w:tcPr>
          <w:p>
            <w:r>
              <w:rPr>
                <w:rFonts w:ascii="Times New Roman" w:hAnsi="Times New Roman"/>
                <w:sz w:val="16"/>
              </w:rPr>
              <w:t>0.975</w:t>
            </w:r>
          </w:p>
        </w:tc>
        <w:tc>
          <w:tcPr>
            <w:tcW w:type="dxa" w:w="1996"/>
          </w:tcPr>
          <w:p>
            <w:r>
              <w:rPr>
                <w:rFonts w:ascii="Times New Roman" w:hAnsi="Times New Roman"/>
                <w:sz w:val="16"/>
              </w:rPr>
              <w:t>0.942</w:t>
            </w:r>
          </w:p>
        </w:tc>
        <w:tc>
          <w:tcPr>
            <w:tcW w:type="dxa" w:w="1996"/>
          </w:tcPr>
          <w:p>
            <w:r>
              <w:rPr>
                <w:rFonts w:ascii="Times New Roman" w:hAnsi="Times New Roman"/>
                <w:sz w:val="16"/>
              </w:rPr>
              <w:t>0.931</w:t>
            </w:r>
          </w:p>
        </w:tc>
        <w:tc>
          <w:tcPr>
            <w:tcW w:type="dxa" w:w="1996"/>
          </w:tcPr>
          <w:p>
            <w:r>
              <w:rPr>
                <w:rFonts w:ascii="Times New Roman" w:hAnsi="Times New Roman"/>
                <w:sz w:val="16"/>
              </w:rPr>
              <w:t>~0.15</w:t>
            </w:r>
          </w:p>
        </w:tc>
      </w:tr>
    </w:tbl>
    <w:p/>
    <w:p>
      <w:r>
        <w:rPr>
          <w:rFonts w:ascii="Times New Roman" w:hAnsi="Times New Roman"/>
          <w:b/>
          <w:sz w:val="18"/>
        </w:rPr>
        <w:t>Table 5: Official PAN26 main test results (TIRA, May 25, 2026)</w:t>
      </w:r>
    </w:p>
    <w:tbl>
      <w:tblPr>
        <w:tblStyle w:val="TableGrid"/>
        <w:tblW w:type="auto" w:w="0"/>
        <w:tblLook w:firstColumn="1" w:firstRow="1" w:lastColumn="0" w:lastRow="0" w:noHBand="0" w:noVBand="1" w:val="04A0"/>
      </w:tblPr>
      <w:tblGrid>
        <w:gridCol w:w="1663"/>
        <w:gridCol w:w="1663"/>
        <w:gridCol w:w="1663"/>
        <w:gridCol w:w="1663"/>
        <w:gridCol w:w="1663"/>
        <w:gridCol w:w="1663"/>
      </w:tblGrid>
      <w:tr>
        <w:tc>
          <w:tcPr>
            <w:tcW w:type="dxa" w:w="1663"/>
          </w:tcPr>
          <w:p>
            <w:r>
              <w:rPr>
                <w:rFonts w:ascii="Times New Roman" w:hAnsi="Times New Roman"/>
                <w:b/>
                <w:sz w:val="16"/>
              </w:rPr>
              <w:t>System</w:t>
            </w:r>
          </w:p>
        </w:tc>
        <w:tc>
          <w:tcPr>
            <w:tcW w:type="dxa" w:w="1663"/>
          </w:tcPr>
          <w:p>
            <w:r>
              <w:rPr>
                <w:rFonts w:ascii="Times New Roman" w:hAnsi="Times New Roman"/>
                <w:b/>
                <w:sz w:val="16"/>
              </w:rPr>
              <w:t>Recall@10</w:t>
            </w:r>
          </w:p>
        </w:tc>
        <w:tc>
          <w:tcPr>
            <w:tcW w:type="dxa" w:w="1663"/>
          </w:tcPr>
          <w:p>
            <w:r>
              <w:rPr>
                <w:rFonts w:ascii="Times New Roman" w:hAnsi="Times New Roman"/>
                <w:b/>
                <w:sz w:val="16"/>
              </w:rPr>
              <w:t>Recall@100</w:t>
            </w:r>
          </w:p>
        </w:tc>
        <w:tc>
          <w:tcPr>
            <w:tcW w:type="dxa" w:w="1663"/>
          </w:tcPr>
          <w:p>
            <w:r>
              <w:rPr>
                <w:rFonts w:ascii="Times New Roman" w:hAnsi="Times New Roman"/>
                <w:b/>
                <w:sz w:val="16"/>
              </w:rPr>
              <w:t>nDCG@10</w:t>
            </w:r>
          </w:p>
        </w:tc>
        <w:tc>
          <w:tcPr>
            <w:tcW w:type="dxa" w:w="1663"/>
          </w:tcPr>
          <w:p>
            <w:r>
              <w:rPr>
                <w:rFonts w:ascii="Times New Roman" w:hAnsi="Times New Roman"/>
                <w:b/>
                <w:sz w:val="16"/>
              </w:rPr>
              <w:t>nDCG@100</w:t>
            </w:r>
          </w:p>
        </w:tc>
        <w:tc>
          <w:tcPr>
            <w:tcW w:type="dxa" w:w="1663"/>
          </w:tcPr>
          <w:p>
            <w:r>
              <w:rPr>
                <w:rFonts w:ascii="Times New Roman" w:hAnsi="Times New Roman"/>
                <w:b/>
                <w:sz w:val="16"/>
              </w:rPr>
              <w:t>RR</w:t>
            </w:r>
          </w:p>
        </w:tc>
      </w:tr>
      <w:tr>
        <w:tc>
          <w:tcPr>
            <w:tcW w:type="dxa" w:w="1663"/>
          </w:tcPr>
          <w:p>
            <w:r>
              <w:rPr>
                <w:rFonts w:ascii="Times New Roman" w:hAnsi="Times New Roman"/>
                <w:sz w:val="16"/>
              </w:rPr>
              <w:t>BM25 baseline</w:t>
            </w:r>
          </w:p>
        </w:tc>
        <w:tc>
          <w:tcPr>
            <w:tcW w:type="dxa" w:w="1663"/>
          </w:tcPr>
          <w:p>
            <w:r>
              <w:rPr>
                <w:rFonts w:ascii="Times New Roman" w:hAnsi="Times New Roman"/>
                <w:sz w:val="16"/>
              </w:rPr>
              <w:t>0.5767</w:t>
            </w:r>
          </w:p>
        </w:tc>
        <w:tc>
          <w:tcPr>
            <w:tcW w:type="dxa" w:w="1663"/>
          </w:tcPr>
          <w:p>
            <w:r>
              <w:rPr>
                <w:rFonts w:ascii="Times New Roman" w:hAnsi="Times New Roman"/>
                <w:sz w:val="16"/>
              </w:rPr>
              <w:t>0.7825</w:t>
            </w:r>
          </w:p>
        </w:tc>
        <w:tc>
          <w:tcPr>
            <w:tcW w:type="dxa" w:w="1663"/>
          </w:tcPr>
          <w:p>
            <w:r>
              <w:rPr>
                <w:rFonts w:ascii="Times New Roman" w:hAnsi="Times New Roman"/>
                <w:sz w:val="16"/>
              </w:rPr>
              <w:t>0.5532</w:t>
            </w:r>
          </w:p>
        </w:tc>
        <w:tc>
          <w:tcPr>
            <w:tcW w:type="dxa" w:w="1663"/>
          </w:tcPr>
          <w:p>
            <w:r>
              <w:rPr>
                <w:rFonts w:ascii="Times New Roman" w:hAnsi="Times New Roman"/>
                <w:sz w:val="16"/>
              </w:rPr>
              <w:t>0.6068</w:t>
            </w:r>
          </w:p>
        </w:tc>
        <w:tc>
          <w:tcPr>
            <w:tcW w:type="dxa" w:w="1663"/>
          </w:tcPr>
          <w:p>
            <w:r>
              <w:rPr>
                <w:rFonts w:ascii="Times New Roman" w:hAnsi="Times New Roman"/>
                <w:sz w:val="16"/>
              </w:rPr>
              <w:t>0.8318</w:t>
            </w:r>
          </w:p>
        </w:tc>
      </w:tr>
      <w:tr>
        <w:tc>
          <w:tcPr>
            <w:tcW w:type="dxa" w:w="1663"/>
          </w:tcPr>
          <w:p>
            <w:r>
              <w:rPr>
                <w:rFonts w:ascii="Times New Roman" w:hAnsi="Times New Roman"/>
                <w:sz w:val="16"/>
              </w:rPr>
              <w:t>fosuai / oscillating-list (ours)</w:t>
            </w:r>
          </w:p>
        </w:tc>
        <w:tc>
          <w:tcPr>
            <w:tcW w:type="dxa" w:w="1663"/>
          </w:tcPr>
          <w:p>
            <w:r>
              <w:rPr>
                <w:rFonts w:ascii="Times New Roman" w:hAnsi="Times New Roman"/>
                <w:sz w:val="16"/>
              </w:rPr>
              <w:t>0.6300</w:t>
            </w:r>
          </w:p>
        </w:tc>
        <w:tc>
          <w:tcPr>
            <w:tcW w:type="dxa" w:w="1663"/>
          </w:tcPr>
          <w:p>
            <w:r>
              <w:rPr>
                <w:rFonts w:ascii="Times New Roman" w:hAnsi="Times New Roman"/>
                <w:sz w:val="16"/>
              </w:rPr>
              <w:t>0.6300</w:t>
            </w:r>
          </w:p>
        </w:tc>
        <w:tc>
          <w:tcPr>
            <w:tcW w:type="dxa" w:w="1663"/>
          </w:tcPr>
          <w:p>
            <w:r>
              <w:rPr>
                <w:rFonts w:ascii="Times New Roman" w:hAnsi="Times New Roman"/>
                <w:sz w:val="16"/>
              </w:rPr>
              <w:t>0.6263</w:t>
            </w:r>
          </w:p>
        </w:tc>
        <w:tc>
          <w:tcPr>
            <w:tcW w:type="dxa" w:w="1663"/>
          </w:tcPr>
          <w:p>
            <w:r>
              <w:rPr>
                <w:rFonts w:ascii="Times New Roman" w:hAnsi="Times New Roman"/>
                <w:sz w:val="16"/>
              </w:rPr>
              <w:t>0.6263</w:t>
            </w:r>
          </w:p>
        </w:tc>
        <w:tc>
          <w:tcPr>
            <w:tcW w:type="dxa" w:w="1663"/>
          </w:tcPr>
          <w:p>
            <w:r>
              <w:rPr>
                <w:rFonts w:ascii="Times New Roman" w:hAnsi="Times New Roman"/>
                <w:sz w:val="16"/>
              </w:rPr>
              <w:t>0.9350</w:t>
            </w:r>
          </w:p>
        </w:tc>
      </w:tr>
      <w:tr>
        <w:tc>
          <w:tcPr>
            <w:tcW w:type="dxa" w:w="1663"/>
          </w:tcPr>
          <w:p>
            <w:r>
              <w:rPr>
                <w:rFonts w:ascii="Times New Roman" w:hAnsi="Times New Roman"/>
                <w:sz w:val="16"/>
              </w:rPr>
              <w:t>JLP / jlp (best system)</w:t>
            </w:r>
          </w:p>
        </w:tc>
        <w:tc>
          <w:tcPr>
            <w:tcW w:type="dxa" w:w="1663"/>
          </w:tcPr>
          <w:p>
            <w:r>
              <w:rPr>
                <w:rFonts w:ascii="Times New Roman" w:hAnsi="Times New Roman"/>
                <w:sz w:val="16"/>
              </w:rPr>
              <w:t>0.8542</w:t>
            </w:r>
          </w:p>
        </w:tc>
        <w:tc>
          <w:tcPr>
            <w:tcW w:type="dxa" w:w="1663"/>
          </w:tcPr>
          <w:p>
            <w:r>
              <w:rPr>
                <w:rFonts w:ascii="Times New Roman" w:hAnsi="Times New Roman"/>
                <w:sz w:val="16"/>
              </w:rPr>
              <w:t>0.9629</w:t>
            </w:r>
          </w:p>
        </w:tc>
        <w:tc>
          <w:tcPr>
            <w:tcW w:type="dxa" w:w="1663"/>
          </w:tcPr>
          <w:p>
            <w:r>
              <w:rPr>
                <w:rFonts w:ascii="Times New Roman" w:hAnsi="Times New Roman"/>
                <w:sz w:val="16"/>
              </w:rPr>
              <w:t>0.7994</w:t>
            </w:r>
          </w:p>
        </w:tc>
        <w:tc>
          <w:tcPr>
            <w:tcW w:type="dxa" w:w="1663"/>
          </w:tcPr>
          <w:p>
            <w:r>
              <w:rPr>
                <w:rFonts w:ascii="Times New Roman" w:hAnsi="Times New Roman"/>
                <w:sz w:val="16"/>
              </w:rPr>
              <w:t>0.8326</w:t>
            </w:r>
          </w:p>
        </w:tc>
        <w:tc>
          <w:tcPr>
            <w:tcW w:type="dxa" w:w="1663"/>
          </w:tcPr>
          <w:p>
            <w:r>
              <w:rPr>
                <w:rFonts w:ascii="Times New Roman" w:hAnsi="Times New Roman"/>
                <w:sz w:val="16"/>
              </w:rPr>
              <w:t>0.9760</w:t>
            </w:r>
          </w:p>
        </w:tc>
      </w:tr>
    </w:tbl>
    <w:p/>
    <w:p>
      <w:pPr>
        <w:spacing w:line="264" w:lineRule="auto"/>
        <w:ind w:firstLine="283"/>
      </w:pPr>
      <w:r>
        <w:rPr>
          <w:rFonts w:ascii="Times New Roman" w:hAnsi="Times New Roman"/>
          <w:sz w:val="18"/>
        </w:rPr>
        <w:t>Our system achieves RR=0.9350, ranked 3rd overall, demonstrating strong early-rank performance. Recall@10 and nDCG@10 both improve over the BM25 baseline (+9.2% and +13.2% respectively). Recall@100 equals Recall@10 because the submitted run contained only top-10 documents per query — an engineering limitation to be addressed in future submissions by outputting top-1000 results.</w:t>
      </w:r>
    </w:p>
    <w:p>
      <w:pPr>
        <w:spacing w:before="160"/>
      </w:pPr>
      <w:r>
        <w:rPr>
          <w:rFonts w:ascii="Times New Roman" w:hAnsi="Times New Roman"/>
          <w:b/>
          <w:sz w:val="22"/>
        </w:rPr>
        <w:t>4 Conclusion</w:t>
      </w:r>
    </w:p>
    <w:p>
      <w:pPr>
        <w:spacing w:line="264" w:lineRule="auto"/>
        <w:ind w:firstLine="283"/>
      </w:pPr>
      <w:r>
        <w:rPr>
          <w:rFonts w:ascii="Times New Roman" w:hAnsi="Times New Roman"/>
          <w:sz w:val="18"/>
        </w:rPr>
        <w:t>We presented a Query-Chunk Provenance Modeling approach for PAN26 source retrieval. Our method consistently outperforms standard BM25 on development data (holdout R@10 0.9947 vs 0.9804). On the official PAN26 main test, our system (fosuai / oscillating-list) achieved RR=0.9350 (3rd), with Recall@10 and nDCG@10 improving over the BM25 baseline. The submitted run's top-10 output limit constrained Recall@100; future versions should output top-1000. The method is lightweight (numpy only) and successfully deployed on TIRA. Secondary dataset results are pending.</w:t>
      </w:r>
    </w:p>
    <w:p>
      <w:pPr>
        <w:spacing w:before="160"/>
      </w:pPr>
      <w:r>
        <w:rPr>
          <w:rFonts w:ascii="Times New Roman" w:hAnsi="Times New Roman"/>
          <w:b/>
          <w:sz w:val="22"/>
        </w:rPr>
        <w:t>Mandatory Citations</w:t>
      </w:r>
    </w:p>
    <w:p>
      <w:pPr>
        <w:spacing w:line="264" w:lineRule="auto"/>
        <w:ind w:firstLine="283"/>
      </w:pPr>
      <w:r>
        <w:rPr>
          <w:rFonts w:ascii="Times New Roman" w:hAnsi="Times New Roman"/>
          <w:sz w:val="18"/>
        </w:rPr>
        <w:t>[1] Greiner-Petter A, Fröbe M, Wahle J P, et al. Overview of the Plagiarism Detection Task at PAN 2025. CLEF 2025, CEUR-WS Vol. 4038, 2025: 3575-3585.</w:t>
      </w:r>
    </w:p>
    <w:p>
      <w:pPr>
        <w:spacing w:line="264" w:lineRule="auto"/>
        <w:ind w:firstLine="283"/>
      </w:pPr>
      <w:r>
        <w:rPr>
          <w:rFonts w:ascii="Times New Roman" w:hAnsi="Times New Roman"/>
          <w:sz w:val="18"/>
        </w:rPr>
        <w:t>[2] Fröbe M, Reimer J H, MacAvaney S, et al. The Information Retrieval Experiment Platform (TIRA). SIGIR 2023, ACM, 2023: 3180-3190. DOI: 10.1145/3539618.3591888.</w:t>
      </w:r>
    </w:p>
    <w:p>
      <w:pPr>
        <w:spacing w:before="160"/>
      </w:pPr>
      <w:r>
        <w:rPr>
          <w:rFonts w:ascii="Times New Roman" w:hAnsi="Times New Roman"/>
          <w:b/>
          <w:sz w:val="22"/>
        </w:rPr>
        <w:t>References</w:t>
      </w:r>
    </w:p>
    <w:p>
      <w:pPr>
        <w:spacing w:line="252" w:lineRule="auto"/>
      </w:pPr>
      <w:r>
        <w:rPr>
          <w:rFonts w:ascii="Times New Roman" w:hAnsi="Times New Roman"/>
          <w:sz w:val="16"/>
        </w:rPr>
        <w:t>[1] Greiner-Petter A, Fröbe M, Wahle J P, et al. Overview of the Plagiarism Detection Task at PAN 2025. CLEF 2025, CEUR-WS Vol.4038, 2025: 3575-3585.</w:t>
      </w:r>
    </w:p>
    <w:p>
      <w:pPr>
        <w:spacing w:line="252" w:lineRule="auto"/>
      </w:pPr>
      <w:r>
        <w:rPr>
          <w:rFonts w:ascii="Times New Roman" w:hAnsi="Times New Roman"/>
          <w:sz w:val="16"/>
        </w:rPr>
        <w:t>[2] Bevendorff J, Dementieva D, Fröbe M, et al. Overview of PAN 2025. ECIR 2025, LNCS 15576, 2025: 434-441.</w:t>
      </w:r>
    </w:p>
    <w:p>
      <w:pPr>
        <w:spacing w:line="252" w:lineRule="auto"/>
      </w:pPr>
      <w:r>
        <w:rPr>
          <w:rFonts w:ascii="Times New Roman" w:hAnsi="Times New Roman"/>
          <w:sz w:val="16"/>
        </w:rPr>
        <w:t>[3] Potthast M, Hagen M, Beyer A, et al. Overview of the 6th International Competition on Plagiarism Detection. CLEF 2014, CEUR-WS Vol.1180, 2014: 845-876.</w:t>
      </w:r>
    </w:p>
    <w:p>
      <w:pPr>
        <w:spacing w:line="252" w:lineRule="auto"/>
      </w:pPr>
      <w:r>
        <w:rPr>
          <w:rFonts w:ascii="Times New Roman" w:hAnsi="Times New Roman"/>
          <w:sz w:val="16"/>
        </w:rPr>
        <w:t>[4] Stein B, Lipka N, Prettenhofer P. Intrinsic Plagiarism Analysis. Language Resources and Evaluation, 2011, 45(1): 63-82.</w:t>
      </w:r>
    </w:p>
    <w:p>
      <w:pPr>
        <w:spacing w:line="252" w:lineRule="auto"/>
      </w:pPr>
      <w:r>
        <w:rPr>
          <w:rFonts w:ascii="Times New Roman" w:hAnsi="Times New Roman"/>
          <w:sz w:val="16"/>
        </w:rPr>
        <w:t>[5] Alzahrani S M, Salim N, Abraham A. Understanding Plagiarism Linguistic Patterns. IEEE TSMC-C, 2012, 42(2): 133-149.</w:t>
      </w:r>
    </w:p>
    <w:p>
      <w:pPr>
        <w:spacing w:line="252" w:lineRule="auto"/>
      </w:pPr>
      <w:r>
        <w:rPr>
          <w:rFonts w:ascii="Times New Roman" w:hAnsi="Times New Roman"/>
          <w:sz w:val="16"/>
        </w:rPr>
        <w:t>[6] Fröbe M, Reimer J H, MacAvaney S, et al. The Information Retrieval Experiment Platform (TIRA). SIGIR 2023, ACM, 2023: 3180-3190.</w:t>
      </w:r>
    </w:p>
    <w:p>
      <w:pPr>
        <w:spacing w:line="252" w:lineRule="auto"/>
      </w:pPr>
      <w:r>
        <w:rPr>
          <w:rFonts w:ascii="Times New Roman" w:hAnsi="Times New Roman"/>
          <w:sz w:val="16"/>
        </w:rPr>
        <w:t>[7] Robertson S, Zaragoza H. The Probabilistic Relevance Framework: BM25 and Beyond. Foundations and Trends in IR, 2009, 3(4): 333-389.</w:t>
      </w:r>
    </w:p>
    <w:p>
      <w:pPr>
        <w:spacing w:line="252" w:lineRule="auto"/>
      </w:pPr>
      <w:r>
        <w:rPr>
          <w:rFonts w:ascii="Times New Roman" w:hAnsi="Times New Roman"/>
          <w:sz w:val="16"/>
        </w:rPr>
        <w:t>[8] Reimers N, Gurevych I. Sentence-BERT. EMNLP-IJCNLP 2019, ACL, 2019: 3982-3992.</w:t>
      </w:r>
    </w:p>
    <w:p>
      <w:pPr>
        <w:spacing w:line="252" w:lineRule="auto"/>
      </w:pPr>
      <w:r>
        <w:rPr>
          <w:rFonts w:ascii="Times New Roman" w:hAnsi="Times New Roman"/>
          <w:sz w:val="16"/>
        </w:rPr>
        <w:t>[9] Wang L, Yang N, Huang X, et al. Text Embeddings by Weakly-Supervised Contrastive Pre-training. arXiv:2212.03533, 2022.</w:t>
      </w:r>
    </w:p>
    <w:p>
      <w:pPr>
        <w:spacing w:line="252" w:lineRule="auto"/>
      </w:pPr>
      <w:r>
        <w:rPr>
          <w:rFonts w:ascii="Times New Roman" w:hAnsi="Times New Roman"/>
          <w:sz w:val="16"/>
        </w:rPr>
        <w:t>[10] Karpukhin V, Oguz B, Min S, et al. Dense Passage Retrieval for Open-Domain QA. EMNLP 2020, ACL, 2020: 6769-6781.</w:t>
      </w:r>
    </w:p>
    <w:p>
      <w:pPr>
        <w:spacing w:line="252" w:lineRule="auto"/>
      </w:pPr>
      <w:r>
        <w:rPr>
          <w:rFonts w:ascii="Times New Roman" w:hAnsi="Times New Roman"/>
          <w:sz w:val="16"/>
        </w:rPr>
        <w:t>[11] Min S, Zhong V, Zettlemoyer L, et al. Multi-hop Reading Comprehension through Question Decomposition and Rescoring. ACL 2019, 2019: 6097-6109.</w:t>
      </w:r>
    </w:p>
    <w:p>
      <w:pPr>
        <w:spacing w:line="252" w:lineRule="auto"/>
      </w:pPr>
      <w:r>
        <w:rPr>
          <w:rFonts w:ascii="Times New Roman" w:hAnsi="Times New Roman"/>
          <w:sz w:val="16"/>
        </w:rPr>
        <w:t>[12] Cormack G V, Clarke C L A, Buettcher S. Reciprocal Rank Fusion. SIGIR 2009, ACM, 2009: 758-759.</w:t>
      </w:r>
    </w:p>
    <w:p>
      <w:pPr>
        <w:spacing w:line="252" w:lineRule="auto"/>
      </w:pPr>
      <w:r>
        <w:rPr>
          <w:rFonts w:ascii="Times New Roman" w:hAnsi="Times New Roman"/>
          <w:sz w:val="16"/>
        </w:rPr>
        <w:t>[13] Nogueira R, Cho K. Passage Re-ranking with BERT. arXiv:1901.04085, 2019.</w:t>
      </w:r>
    </w:p>
    <w:p>
      <w:pPr>
        <w:spacing w:before="160"/>
      </w:pPr>
      <w:r>
        <w:rPr>
          <w:rFonts w:ascii="Times New Roman" w:hAnsi="Times New Roman"/>
          <w:b/>
          <w:sz w:val="22"/>
        </w:rPr>
        <w:t>Declaration on Generative AI</w:t>
      </w:r>
    </w:p>
    <w:p>
      <w:pPr>
        <w:spacing w:line="264" w:lineRule="auto"/>
        <w:ind w:firstLine="283"/>
      </w:pPr>
      <w:r>
        <w:rPr>
          <w:rFonts w:ascii="Times New Roman" w:hAnsi="Times New Roman"/>
          <w:sz w:val="18"/>
        </w:rPr>
        <w:t>During the preparation of this work, the author(s) used Claude Code in order to: English abstract translation, reference format verification against DBLP and Google Scholar, and English language proofreading. After using this tool/service, the author(s) reviewed and edited the content as needed and take(s) full responsibility for the publication's content.</w:t>
      </w:r>
    </w:p>
    <w:p>
      <w:pPr>
        <w:spacing w:before="160"/>
      </w:pPr>
      <w:r>
        <w:rPr>
          <w:rFonts w:ascii="Times New Roman" w:hAnsi="Times New Roman"/>
          <w:b/>
          <w:sz w:val="22"/>
        </w:rPr>
        <w:t>Acknowledgments</w:t>
      </w:r>
    </w:p>
    <w:p>
      <w:pPr>
        <w:spacing w:line="264" w:lineRule="auto"/>
        <w:ind w:firstLine="283"/>
      </w:pPr>
      <w:r>
        <w:rPr>
          <w:rFonts w:ascii="Times New Roman" w:hAnsi="Times New Roman"/>
          <w:sz w:val="18"/>
        </w:rPr>
        <w:t>This work is supported by the National Social Science Foundation of China (24BYY080). We thank the PAN@CLEF organizers for providing the evaluation dataset and the TIRA platform.</w:t>
      </w:r>
    </w:p>
    <w:sectPr w:rsidR="00FC693F" w:rsidRPr="0006063C" w:rsidSect="00034616">
      <w:pgSz w:w="11906" w:h="16838"/>
      <w:pgMar w:top="1134"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