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28"/>
        </w:rPr>
        <w:t>基于查询分段溯源建模的生成式抄袭源检索方法</w:t>
      </w:r>
    </w:p>
    <w:p>
      <w:pPr>
        <w:spacing w:after="40"/>
        <w:jc w:val="center"/>
      </w:pPr>
      <w:r>
        <w:rPr>
          <w:rFonts w:ascii="宋体" w:hAnsi="宋体" w:eastAsia="宋体"/>
          <w:sz w:val="21"/>
        </w:rPr>
        <w:t>王毅¹  韩中元¹(通讯作者)</w:t>
      </w:r>
    </w:p>
    <w:p>
      <w:pPr>
        <w:spacing w:after="40"/>
        <w:jc w:val="center"/>
      </w:pPr>
      <w:r>
        <w:rPr>
          <w:rFonts w:ascii="宋体" w:hAnsi="宋体" w:eastAsia="宋体"/>
          <w:sz w:val="18"/>
        </w:rPr>
        <w:t>1. 佛山大学 [学院名称], 佛山 528000</w:t>
      </w:r>
    </w:p>
    <w:p>
      <w:pPr>
        <w:spacing w:after="40"/>
        <w:jc w:val="center"/>
      </w:pPr>
      <w:r>
        <w:rPr>
          <w:rFonts w:ascii="宋体" w:hAnsi="宋体" w:eastAsia="宋体"/>
          <w:sz w:val="18"/>
        </w:rPr>
        <w:t>通讯作者邮箱：wangyi0187@icloud.com</w:t>
      </w:r>
    </w:p>
    <w:p>
      <w:pPr>
        <w:spacing w:after="200"/>
        <w:jc w:val="center"/>
      </w:pPr>
      <w:r>
        <w:rPr>
          <w:rFonts w:ascii="宋体" w:hAnsi="宋体" w:eastAsia="宋体"/>
          <w:sz w:val="18"/>
        </w:rPr>
        <w:t>E-mail: wangyi0187@icloud.com</w:t>
      </w:r>
    </w:p>
    <w:p>
      <w:pPr>
        <w:pStyle w:val="Heading1"/>
      </w:pPr>
      <w:r>
        <w:rPr>
          <w:rFonts w:ascii="宋体" w:hAnsi="宋体" w:eastAsia="宋体"/>
        </w:rPr>
        <w:t>摘要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PAN@CLEF 2026生成式抄袭检测评测任务（Task 4）旨在从大规模候选语料库中，为给定的可疑文档检索其原始来源文档。该任务的核心挑战在于：大语言模型生成的可疑文档通常融合了多个不同来源的内容，将文档作为单一查询进行检索会稀释多源溯源信号。针对这一问题，本文提出了一种基于查询分段溯源建模（Query-Chunk Provenance Modeling）的源检索方法。该方法首先将可疑文档按段落结构拆分为若干语义连贯的查询段（query chunk），每个查询段独立进行BM25检索，获得各自的候选源文档排序列表；然后通过覆盖率加权投票（coverage-weighted voting）机制聚合各段的检索结果，奖励被多个查询段同时命中的源文档，构建显式的溯源图（provenance graph）。在PAN26评测数据集上的实验表明，该方法在所有评价指标上均显著优于标准BM25基线：在800条查询样本上，R@10从0.920提升至0.970（+5.4%），MRR从0.777提升至0.909（+17.0%）；在1200条查询样本上，R@10从0.883提升至0.969（+9.8%），MRR从0.753提升至0.909（+20.6%）。该方法仅依赖numpy和标准Python库，无需GPU或预训练语言模型，已成功部署为TIRA Docker提交（团队：fosuai，软件：oscillating-list）。</w:t>
      </w:r>
    </w:p>
    <w:p>
      <w:pPr>
        <w:ind w:firstLine="420"/>
      </w:pPr>
      <w:r>
        <w:rPr>
          <w:rFonts w:ascii="宋体" w:hAnsi="宋体" w:eastAsia="宋体"/>
          <w:b/>
          <w:sz w:val="21"/>
        </w:rPr>
        <w:t>关键词：</w:t>
      </w:r>
      <w:r>
        <w:rPr>
          <w:rFonts w:ascii="宋体" w:hAnsi="宋体" w:eastAsia="宋体"/>
          <w:sz w:val="21"/>
        </w:rPr>
        <w:t>生成式抄袭检测；源检索；查询分段；溯源建模；BM25；覆盖率投票</w:t>
      </w:r>
    </w:p>
    <w:p>
      <w:pPr>
        <w:pStyle w:val="Heading1"/>
      </w:pPr>
      <w:r>
        <w:rPr>
          <w:rFonts w:ascii="宋体" w:hAnsi="宋体" w:eastAsia="宋体"/>
        </w:rPr>
        <w:t>1 引言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生成式抄袭检测（Generative Plagiarism Detection）是PAN@CLEF 2026新设立的一项评测任务[1]。与传统逐字抄袭（copy-paste plagiarism）或近义改写抄袭（paraphrase plagiarism）不同，生成式抄袭指利用大语言模型（Large Language Model, LLM）自动生成文本，这些文本可能融合、重组或改写自数十个来源文档，形成"多源合成"式的抄袭。该任务分为两个阶段：（1）源检索（Source Retrieval）——给定一篇可疑文档，从大规模候选语料库中检索其可能来源的文档集合；（2）文本对齐（Text Alignment）——在可疑文档与源文档之间精确定位抄袭段落。本文聚焦于第一阶段，即源检索任务。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现有源检索方法普遍采用"文档级查询"（document-level querying）范式：将整篇可疑文档作为一个完整的查询输入检索系统（无论是基于词法匹配的BM25，还是基于语义匹配的稠密检索模型如E5、SPECTER），计算可疑文档与每个候选源文档之间的单一相关性得分。然而，这一范式存在根本性局限：当可疑文档合成自来源A的引言、来源B的方法论和来源C的结果分析时，查询信号是多个"来源指纹"的噪声混合。检索模型需要同时匹配三种不同的来源特征，导致排名信号被稀释，真正的来源文档可能被噪声淹没而无法进入前10名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针对上述多源信号稀释问题，本文提出了一种基于查询分段溯源建模（Query-Chunk Provenance Modeling）的源检索方法。核心思想是：不再将可疑文档视为一个整体查询，而是将其按段落结构显式拆分为若干语义连贯的查询段（query chunks），每个查询段独立检索候选来源，再通过覆盖率加权投票机制聚合各段结果，重建"可疑文档各部分分别来自哪里"的溯源图（provenance graph）。该方法的直观动机是：被多个独立查询段同时命中的源文档，更有可能是真实的全局来源，而非偶发的局部匹配。在800和1200条查询样本上的实验表明，该方法在R@10、R@100、nDCG@10和MRR四项指标上均一致优于标准BM25基线。此外，该方法仅依赖numpy和Python标准库，无需GPU或预训练语言模型，适合在TIRA评测平台中高效部署。</w:t>
      </w:r>
    </w:p>
    <w:p>
      <w:pPr>
        <w:pStyle w:val="Heading1"/>
      </w:pPr>
      <w:r>
        <w:rPr>
          <w:rFonts w:ascii="宋体" w:hAnsi="宋体" w:eastAsia="宋体"/>
        </w:rPr>
        <w:t>2 相关工作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源检索是抄袭检测流水线的基础环节。自PAN 2014评测[2]设立源检索子任务以来，参与者提出了多种方法，大致可分为三类：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（1）基于词法匹配的方法。这类方法依赖词n-gram重叠、指纹（fingerprinting）或BM25等词频统计模型进行检索。BM25[3]作为经典的概率检索模型，通过词频（TF）和逆文档频率（IDF）对候选文档进行评分，在文本抄袭检测场景中表现强劲——因为抄袭文本通常保留了原文的关键词汇，词法匹配能够有效捕捉这种"词汇指纹"。在PAN 2014至PAN 2025历届评测[1,2]中，基于BM25的检索方法始终是强基线。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（2）基于语义匹配的方法。随着预训练语言模型的发展，参与者开始使用Sentence-BERT[4]、E5[5]等句子编码器将文档映射到稠密向量空间，通过余弦相似度进行语义级匹配。这类方法对改写程度较高的抄袭文本具有更好的泛化能力，但计算成本远高于词法匹配。PAN 2025评测报告[1]指出，Linq-Embed-Mistral在召回率上表现最佳（0.82），但所有参与团队的方法在跨域泛化（PAN 2015数据集）上均显著下降。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（3）基于文档切分的方法。对于长文档检索，将文档切分为固定大小的文本块（chunks），分别编码后通过最大池化或加权平均进行聚合[6]。这类方法在开放域问答和段落检索中取得了良好效果，但仍将查询视为单一整体，未对查询侧的多源结构进行建模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与上述方法不同，本文提出的查询分段溯源建模方法从查询侧入手：将可疑文档显式拆分为多个独立查询段，每个查询段独立检索，再通过投票机制聚合构建溯源图。这一思路的关键差异在于：它不再假设可疑文档来自单一来源，而是显式建模多源抄袭场景下的溯源结构。</w:t>
      </w:r>
    </w:p>
    <w:p>
      <w:pPr>
        <w:pStyle w:val="Heading1"/>
      </w:pPr>
      <w:r>
        <w:rPr>
          <w:rFonts w:ascii="宋体" w:hAnsi="宋体" w:eastAsia="宋体"/>
        </w:rPr>
        <w:t>3 方法</w:t>
      </w:r>
    </w:p>
    <w:p>
      <w:pPr>
        <w:pStyle w:val="Heading2"/>
      </w:pPr>
      <w:r>
        <w:rPr>
          <w:rFonts w:ascii="宋体" w:hAnsi="宋体" w:eastAsia="宋体"/>
        </w:rPr>
        <w:t>3.1 任务形式化定义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给定一个源文档语料库C = {d₁, d₂, ..., d_N}（共N篇文档）和一个可疑文档集合Q，对于每个可疑文档q ∈ Q，源检索任务的目标是从C中检索出一个排序文档列表R(q) = [d_{r₁}, d_{r₂}, ..., d_{r_K}]，使得与q存在真实抄袭关系的源文档尽可能排在列表的前列。每个可疑文档q可能与多个源文档存在抄袭关系，但评测时每个查询仅关联一个主要来源文档d*(q)（由qrels标注）。检索质量通过R@K、nDCG@K和MRR等指标衡量。</w:t>
      </w:r>
    </w:p>
    <w:p>
      <w:pPr>
        <w:pStyle w:val="Heading2"/>
      </w:pPr>
      <w:r>
        <w:rPr>
          <w:rFonts w:ascii="宋体" w:hAnsi="宋体" w:eastAsia="宋体"/>
        </w:rPr>
        <w:t>3.2 查询分段溯源建模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本文提出的查询分段溯源建模方法包含三个核心组件：（1）段落级查询分段（Paragraph-level Query Segmentation）；（2）独立分段检索（Independent Segment Retrieval）；（3）覆盖率加权源投票（Coverage-Weighted Source Voting）。图1给出了方法的整体架构。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18"/>
        </w:rPr>
        <w:t>[图1位置：方法整体架构图。左侧：可疑文档输入 → 段落分段 → 查询段C₁, C₂, ..., Cₙ；中间：每个查询段独立BM25检索 → 候选源文档排序列表；右侧：覆盖率加权投票聚合 → 最终源文档排序列表。重点框标注：段落分段模块、覆盖率加权投票模块。]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段落级查询分段。给定可疑文档q，首先按双换行符（\n\n）将其拆分为原始段落。然后采用合并-截断策略：依次遍历段落并将相邻段落合并，直到当前缓冲区长度超过max_chars（3,000字符），此时将缓冲区内容作为一个独立查询段输出，并开始新的缓冲区。丢弃长度不足min_chars（800字符）的尾部残段。每个查询的上限为20个查询段。该策略产生的查询段大致对应学术文档的章节结构（引言段落、方法描述、结果讨论等），具有较好的语义连贯性。对于过短或缺乏段落结构的可疑文档，回退为整文档查询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独立分段检索。每个查询段cᵢ独立执行BM25检索，获得其top-50候选源文档列表。为提升分段检索效率，采用以下优化策略：（a）查询词筛选——仅选择文档频率不超过5,000（约占语料库的8%）的查询词参与评分，过滤掉区分度低且发布列表极长的高频词；（b）限制查询词数量——每个查询段最多使用20个查询词（而非标准检索的100个），因为短文本中的独特判别词较少；（c）高效top-k提取——使用堆排序（heapq.nlargest）而非全排序，将复杂度从O(N log N)降低至O(N log k)。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覆盖率加权源投票。将n个查询段的检索结果聚合为最终排序。对于每个候选源文档d，其最终得分的计算公式为：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Score(d) = Σᵢ BM25(d|cᵢ) × (1 + count(d) / n)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其中BM25(d|cᵢ)是文档d在查询段cᵢ下的BM25得分，count(d)是检索到文档d的查询段数量，n是总查询段数。覆盖率奖励因子(1 + count(d)/n)使得被多个独立查询段同时命中的文档获得额外加分——这是"多源一致性"的强信号，表明该文档可能是可疑文档中多个段落的真实来源，而非偶发的单一匹配。对于产生单一查询段的短文档，回退为标准BM25检索（max_terms=100）。</w:t>
      </w:r>
    </w:p>
    <w:p>
      <w:pPr>
        <w:pStyle w:val="Heading1"/>
      </w:pPr>
      <w:r>
        <w:rPr>
          <w:rFonts w:ascii="宋体" w:hAnsi="宋体" w:eastAsia="宋体"/>
        </w:rPr>
        <w:t>4 实验</w:t>
      </w:r>
    </w:p>
    <w:p>
      <w:pPr>
        <w:pStyle w:val="Heading2"/>
      </w:pPr>
      <w:r>
        <w:rPr>
          <w:rFonts w:ascii="宋体" w:hAnsi="宋体" w:eastAsia="宋体"/>
        </w:rPr>
        <w:t>4.1 实验设置</w:t>
      </w:r>
    </w:p>
    <w:p>
      <w:pPr>
        <w:pStyle w:val="Heading3"/>
      </w:pPr>
      <w:r>
        <w:rPr>
          <w:rFonts w:ascii="宋体" w:hAnsi="宋体" w:eastAsia="宋体"/>
        </w:rPr>
        <w:t>4.1.1 实验数据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实验采用PAN26格式的训练数据集，来源于PAN 2025评测数据[1]的转换版本。数据集包含：源文档语料库60,592篇（学术论文文本，来自ClueWeb09），可疑文档42,444篇（LLM生成的抄袭案例），以及43,140条查询-文档相关性标注（qrels）。为高效验证，从42,444条查询中随机采样了两个子集（随机种子20260520）：800条查询子集和1,200条查询子集。采样覆盖了完整的查询长度分布范围。</w:t>
      </w:r>
    </w:p>
    <w:p>
      <w:pPr>
        <w:pStyle w:val="Heading3"/>
      </w:pPr>
      <w:r>
        <w:rPr>
          <w:rFonts w:ascii="宋体" w:hAnsi="宋体" w:eastAsia="宋体"/>
        </w:rPr>
        <w:t>4.1.2 数据预处理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所有文本进行小写化和tokenization处理（正则表达式[a-z0-9]+提取词元）。构建倒排索引（inverted index）：以词元为键，以(doc_idx, term_frequency)二元组列表为值，共包含1,273,004个唯一词元。BM25参数设置为k₁=1.2，b=0.75。</w:t>
      </w:r>
    </w:p>
    <w:p>
      <w:pPr>
        <w:pStyle w:val="Heading3"/>
      </w:pPr>
      <w:r>
        <w:rPr>
          <w:rFonts w:ascii="宋体" w:hAnsi="宋体" w:eastAsia="宋体"/>
        </w:rPr>
        <w:t>4.1.3 评价指标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采用四项标准信息检索评价指标：（1）R@10和R@100（Recall at K）——正确源文档出现在前K个检索结果中的查询比例；（2）nDCG@10（Normalized Discounted Cumulative Gain）——考虑位置权重的归一化折损累积增益；（3）MRR（Mean Reciprocal Rank）——平均倒数排名，衡量第一个正确结果排名的倒数的平均值。所有指标数值越高越好。</w:t>
      </w:r>
    </w:p>
    <w:p>
      <w:pPr>
        <w:pStyle w:val="Heading3"/>
      </w:pPr>
      <w:r>
        <w:rPr>
          <w:rFonts w:ascii="宋体" w:hAnsi="宋体" w:eastAsia="宋体"/>
        </w:rPr>
        <w:t>4.1.4 基线方法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基线方法为标准BM25检索[3]：将整篇可疑文档作为单一查询，选取IDF最高的100个查询词进行检索，返回top-100排序结果。为公平对比，基线使用与本文方法完全相同的倒排索引和BM25参数。</w:t>
      </w:r>
    </w:p>
    <w:p>
      <w:pPr>
        <w:pStyle w:val="Heading2"/>
      </w:pPr>
      <w:r>
        <w:rPr>
          <w:rFonts w:ascii="宋体" w:hAnsi="宋体" w:eastAsia="宋体"/>
        </w:rPr>
        <w:t>4.2 实验结果及分析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/>
          <w:sz w:val="21"/>
        </w:rPr>
        <w:t>表1和表2分别报告了800条和1,200条查询样本上的实验结果。</w:t>
      </w:r>
    </w:p>
    <w:p>
      <w:pPr>
        <w:spacing w:before="0" w:after="60" w:line="300" w:lineRule="auto"/>
      </w:pPr>
      <w:r>
        <w:rPr>
          <w:rFonts w:ascii="宋体" w:hAnsi="宋体" w:eastAsia="宋体"/>
          <w:b/>
          <w:sz w:val="18"/>
        </w:rPr>
        <w:t>表1. 800条查询样本上的实验结果（submit_pan26.py精确代码）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t>指标</w:t>
            </w:r>
          </w:p>
        </w:tc>
        <w:tc>
          <w:tcPr>
            <w:tcW w:type="dxa" w:w="2075"/>
          </w:tcPr>
          <w:p>
            <w:r>
              <w:t>标准BM25</w:t>
            </w:r>
          </w:p>
        </w:tc>
        <w:tc>
          <w:tcPr>
            <w:tcW w:type="dxa" w:w="2075"/>
          </w:tcPr>
          <w:p>
            <w:r>
              <w:t>分段BM25（本文方法）</w:t>
            </w:r>
          </w:p>
        </w:tc>
        <w:tc>
          <w:tcPr>
            <w:tcW w:type="dxa" w:w="2075"/>
          </w:tcPr>
          <w:p>
            <w:r>
              <w:t>Δ</w:t>
            </w:r>
          </w:p>
        </w:tc>
      </w:tr>
      <w:tr>
        <w:tc>
          <w:tcPr>
            <w:tcW w:type="dxa" w:w="2075"/>
          </w:tcPr>
          <w:p>
            <w:r>
              <w:t>R@10</w:t>
            </w:r>
          </w:p>
        </w:tc>
        <w:tc>
          <w:tcPr>
            <w:tcW w:type="dxa" w:w="2075"/>
          </w:tcPr>
          <w:p>
            <w:r>
              <w:t>0.9200</w:t>
            </w:r>
          </w:p>
        </w:tc>
        <w:tc>
          <w:tcPr>
            <w:tcW w:type="dxa" w:w="2075"/>
          </w:tcPr>
          <w:p>
            <w:r>
              <w:t>0.9700</w:t>
            </w:r>
          </w:p>
        </w:tc>
        <w:tc>
          <w:tcPr>
            <w:tcW w:type="dxa" w:w="2075"/>
          </w:tcPr>
          <w:p>
            <w:r>
              <w:t>+5.4%</w:t>
            </w:r>
          </w:p>
        </w:tc>
      </w:tr>
      <w:tr>
        <w:tc>
          <w:tcPr>
            <w:tcW w:type="dxa" w:w="2075"/>
          </w:tcPr>
          <w:p>
            <w:r>
              <w:t>R@100</w:t>
            </w:r>
          </w:p>
        </w:tc>
        <w:tc>
          <w:tcPr>
            <w:tcW w:type="dxa" w:w="2075"/>
          </w:tcPr>
          <w:p>
            <w:r>
              <w:t>0.9700</w:t>
            </w:r>
          </w:p>
        </w:tc>
        <w:tc>
          <w:tcPr>
            <w:tcW w:type="dxa" w:w="2075"/>
          </w:tcPr>
          <w:p>
            <w:r>
              <w:t>0.9912</w:t>
            </w:r>
          </w:p>
        </w:tc>
        <w:tc>
          <w:tcPr>
            <w:tcW w:type="dxa" w:w="2075"/>
          </w:tcPr>
          <w:p>
            <w:r>
              <w:t>+2.2%</w:t>
            </w:r>
          </w:p>
        </w:tc>
      </w:tr>
      <w:tr>
        <w:tc>
          <w:tcPr>
            <w:tcW w:type="dxa" w:w="2075"/>
          </w:tcPr>
          <w:p>
            <w:r>
              <w:t>nDCG@10</w:t>
            </w:r>
          </w:p>
        </w:tc>
        <w:tc>
          <w:tcPr>
            <w:tcW w:type="dxa" w:w="2075"/>
          </w:tcPr>
          <w:p>
            <w:r>
              <w:t>0.8122</w:t>
            </w:r>
          </w:p>
        </w:tc>
        <w:tc>
          <w:tcPr>
            <w:tcW w:type="dxa" w:w="2075"/>
          </w:tcPr>
          <w:p>
            <w:r>
              <w:t>0.9242</w:t>
            </w:r>
          </w:p>
        </w:tc>
        <w:tc>
          <w:tcPr>
            <w:tcW w:type="dxa" w:w="2075"/>
          </w:tcPr>
          <w:p>
            <w:r>
              <w:t>+13.8%</w:t>
            </w:r>
          </w:p>
        </w:tc>
      </w:tr>
      <w:tr>
        <w:tc>
          <w:tcPr>
            <w:tcW w:type="dxa" w:w="2075"/>
          </w:tcPr>
          <w:p>
            <w:r>
              <w:t>MRR</w:t>
            </w:r>
          </w:p>
        </w:tc>
        <w:tc>
          <w:tcPr>
            <w:tcW w:type="dxa" w:w="2075"/>
          </w:tcPr>
          <w:p>
            <w:r>
              <w:t>0.7771</w:t>
            </w:r>
          </w:p>
        </w:tc>
        <w:tc>
          <w:tcPr>
            <w:tcW w:type="dxa" w:w="2075"/>
          </w:tcPr>
          <w:p>
            <w:r>
              <w:t>0.9092</w:t>
            </w:r>
          </w:p>
        </w:tc>
        <w:tc>
          <w:tcPr>
            <w:tcW w:type="dxa" w:w="2075"/>
          </w:tcPr>
          <w:p>
            <w:r>
              <w:t>+17.0%</w:t>
            </w:r>
          </w:p>
        </w:tc>
      </w:tr>
    </w:tbl>
    <w:p>
      <w:pPr>
        <w:spacing w:before="0" w:after="60" w:line="300" w:lineRule="auto"/>
      </w:pPr>
      <w:r>
        <w:rPr>
          <w:rFonts w:ascii="宋体" w:hAnsi="宋体" w:eastAsia="宋体"/>
          <w:b w:val="0"/>
          <w:sz w:val="12"/>
        </w:rPr>
      </w:r>
    </w:p>
    <w:p>
      <w:pPr>
        <w:spacing w:before="0" w:after="60" w:line="300" w:lineRule="auto"/>
      </w:pPr>
      <w:r>
        <w:rPr>
          <w:rFonts w:ascii="宋体" w:hAnsi="宋体" w:eastAsia="宋体"/>
          <w:b/>
          <w:sz w:val="18"/>
        </w:rPr>
        <w:t>表2. 1200条查询样本上的实验结果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t>指标</w:t>
            </w:r>
          </w:p>
        </w:tc>
        <w:tc>
          <w:tcPr>
            <w:tcW w:type="dxa" w:w="2075"/>
          </w:tcPr>
          <w:p>
            <w:r>
              <w:t>标准BM25</w:t>
            </w:r>
          </w:p>
        </w:tc>
        <w:tc>
          <w:tcPr>
            <w:tcW w:type="dxa" w:w="2075"/>
          </w:tcPr>
          <w:p>
            <w:r>
              <w:t>分段BM25（本文方法）</w:t>
            </w:r>
          </w:p>
        </w:tc>
        <w:tc>
          <w:tcPr>
            <w:tcW w:type="dxa" w:w="2075"/>
          </w:tcPr>
          <w:p>
            <w:r>
              <w:t>Δ</w:t>
            </w:r>
          </w:p>
        </w:tc>
      </w:tr>
      <w:tr>
        <w:tc>
          <w:tcPr>
            <w:tcW w:type="dxa" w:w="2075"/>
          </w:tcPr>
          <w:p>
            <w:r>
              <w:t>R@10</w:t>
            </w:r>
          </w:p>
        </w:tc>
        <w:tc>
          <w:tcPr>
            <w:tcW w:type="dxa" w:w="2075"/>
          </w:tcPr>
          <w:p>
            <w:r>
              <w:t>0.8825</w:t>
            </w:r>
          </w:p>
        </w:tc>
        <w:tc>
          <w:tcPr>
            <w:tcW w:type="dxa" w:w="2075"/>
          </w:tcPr>
          <w:p>
            <w:r>
              <w:t>0.9692</w:t>
            </w:r>
          </w:p>
        </w:tc>
        <w:tc>
          <w:tcPr>
            <w:tcW w:type="dxa" w:w="2075"/>
          </w:tcPr>
          <w:p>
            <w:r>
              <w:t>+9.8%</w:t>
            </w:r>
          </w:p>
        </w:tc>
      </w:tr>
      <w:tr>
        <w:tc>
          <w:tcPr>
            <w:tcW w:type="dxa" w:w="2075"/>
          </w:tcPr>
          <w:p>
            <w:r>
              <w:t>R@100</w:t>
            </w:r>
          </w:p>
        </w:tc>
        <w:tc>
          <w:tcPr>
            <w:tcW w:type="dxa" w:w="2075"/>
          </w:tcPr>
          <w:p>
            <w:r>
              <w:t>0.9517</w:t>
            </w:r>
          </w:p>
        </w:tc>
        <w:tc>
          <w:tcPr>
            <w:tcW w:type="dxa" w:w="2075"/>
          </w:tcPr>
          <w:p>
            <w:r>
              <w:t>0.9908</w:t>
            </w:r>
          </w:p>
        </w:tc>
        <w:tc>
          <w:tcPr>
            <w:tcW w:type="dxa" w:w="2075"/>
          </w:tcPr>
          <w:p>
            <w:r>
              <w:t>+4.1%</w:t>
            </w:r>
          </w:p>
        </w:tc>
      </w:tr>
      <w:tr>
        <w:tc>
          <w:tcPr>
            <w:tcW w:type="dxa" w:w="2075"/>
          </w:tcPr>
          <w:p>
            <w:r>
              <w:t>nDCG@10</w:t>
            </w:r>
          </w:p>
        </w:tc>
        <w:tc>
          <w:tcPr>
            <w:tcW w:type="dxa" w:w="2075"/>
          </w:tcPr>
          <w:p>
            <w:r>
              <w:t>0.7850</w:t>
            </w:r>
          </w:p>
        </w:tc>
        <w:tc>
          <w:tcPr>
            <w:tcW w:type="dxa" w:w="2075"/>
          </w:tcPr>
          <w:p>
            <w:r>
              <w:t>0.9234</w:t>
            </w:r>
          </w:p>
        </w:tc>
        <w:tc>
          <w:tcPr>
            <w:tcW w:type="dxa" w:w="2075"/>
          </w:tcPr>
          <w:p>
            <w:r>
              <w:t>+17.6%</w:t>
            </w:r>
          </w:p>
        </w:tc>
      </w:tr>
      <w:tr>
        <w:tc>
          <w:tcPr>
            <w:tcW w:type="dxa" w:w="2075"/>
          </w:tcPr>
          <w:p>
            <w:r>
              <w:t>MRR</w:t>
            </w:r>
          </w:p>
        </w:tc>
        <w:tc>
          <w:tcPr>
            <w:tcW w:type="dxa" w:w="2075"/>
          </w:tcPr>
          <w:p>
            <w:r>
              <w:t>0.7532</w:t>
            </w:r>
          </w:p>
        </w:tc>
        <w:tc>
          <w:tcPr>
            <w:tcW w:type="dxa" w:w="2075"/>
          </w:tcPr>
          <w:p>
            <w:r>
              <w:t>0.9086</w:t>
            </w:r>
          </w:p>
        </w:tc>
        <w:tc>
          <w:tcPr>
            <w:tcW w:type="dxa" w:w="2075"/>
          </w:tcPr>
          <w:p>
            <w:r>
              <w:t>+20.6%</w:t>
            </w:r>
          </w:p>
        </w:tc>
      </w:tr>
    </w:tbl>
    <w:p>
      <w:pPr>
        <w:spacing w:before="0" w:after="60" w:line="300" w:lineRule="auto"/>
      </w:pPr>
      <w:r>
        <w:rPr>
          <w:rFonts w:ascii="宋体" w:hAnsi="宋体" w:eastAsia="宋体"/>
          <w:b w:val="0"/>
          <w:sz w:val="12"/>
        </w:rPr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从实验结果可以得出以下分析：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（1）分段溯源建模在所有四项指标上一致优于标准BM25。在800条查询上，R@10从0.920提升至0.970，MRR从0.777提升至0.909；在1200条查询上，R@10从0.883提升至0.969，MRR从0.753提升至0.909。两个样本上的绝对性能高度一致，说明方法具有良好的稳定性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（2）MRR的提升幅度最大（+17%至+21%），表明覆盖率加权投票机制能有效地将真实源文档从较低的排名位置"推"到前列。标准BM25可能将真实源文档排在5-10名附近，而分段投票通过多段一致性信号将其提升至1-3名。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（3）R@100趋近理论上限（0.99），说明在该数据集上源检索的召回率已接近饱和，剩余的错误案例可能需要在文本对齐阶段进行精细化处理。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（4）在1200条查询上，标准BM25的R@10（0.883）低于800条查询上的结果（0.920），而分段方法的R@10在两个样本上几乎一致（0.970 vs 0.969）。这暗示分段方法对查询分布的变异性具有更强的鲁棒性。</w:t>
      </w:r>
    </w:p>
    <w:p>
      <w:pPr>
        <w:pStyle w:val="Heading1"/>
      </w:pPr>
      <w:r>
        <w:rPr>
          <w:rFonts w:ascii="宋体" w:hAnsi="宋体" w:eastAsia="宋体"/>
        </w:rPr>
        <w:t>5 结论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本文针对生成式抄袭检测中的源检索任务，提出了一种基于查询分段溯源建模的方法。该方法的核心思想是将可疑文档的"多源合成"特性显式纳入检索过程：通过段落级查询分段将可疑文档拆分为独立查询段，每个查询段独立检索候选源文档，再通过覆盖率加权投票机制聚合各段结果，构建显式的溯源图。在PAN26评测数据上的实验表明，该方法在R@10、R@100、nDCG@10和MRR四项指标上均一致优于标准BM25基线，其中MRR的相对提升幅度最高（约+20%）。该方法实现轻量化（仅依赖numpy），已成功提交至TIRA评测平台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未来工作方向包括：（1）探索基于章节标题（如Introduction、Method、Results）的语义分段策略以替代纯段落分段；（2）引入稠密检索模型（如E5）增强对高度改写段落的语义匹配能力；（3）将溯源图输出直接输入文本对齐阶段，实现源检索与抄袭定位的紧密耦合。</w:t>
      </w:r>
    </w:p>
    <w:p>
      <w:pPr>
        <w:pStyle w:val="Heading1"/>
      </w:pPr>
      <w:r>
        <w:rPr>
          <w:rFonts w:ascii="宋体" w:hAnsi="宋体" w:eastAsia="宋体"/>
        </w:rPr>
        <w:t>6 致谢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This work is supported by the National Social Science Foundation of China (24BYY080). 感谢PAN@CLEF评测组织者提供的数据集和评测平台。</w:t>
      </w:r>
    </w:p>
    <w:p>
      <w:pPr>
        <w:pStyle w:val="Heading1"/>
      </w:pPr>
      <w:r>
        <w:rPr>
          <w:rFonts w:ascii="宋体" w:hAnsi="宋体" w:eastAsia="宋体"/>
        </w:rPr>
        <w:t>参考文献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18"/>
        </w:rPr>
        <w:t>[1] Greiner-Petter A, Fröbe M, Wahle J P, et al. Overview of the Plagiarism Detection Task at PAN 2025[C]//Proceedings of the 16th International Conference of the CLEF Association (CLEF 2025). CEUR Workshop Proceedings, Vol. 4038, 2025.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18"/>
        </w:rPr>
        <w:t>[2] Potthast M, Gollub T, Hagen M, et al. Overview of the 6th International Competition on Plagiarism Detection[C]//Working Notes of CLEF 2014 - Conference and Labs of the Evaluation Forum. CEUR Workshop Proceedings, Vol. 1180, 2014: 975-997.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18"/>
        </w:rPr>
        <w:t>[3] Robertson S, Zaragoza H. The Probabilistic Relevance Framework: BM25 and Beyond[J]. Foundations and Trends in Information Retrieval, 2009, 3(4): 333-389.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18"/>
        </w:rPr>
        <w:t>[4] Reimers N, Gurevych I. Sentence-BERT: Sentence Embeddings using Siamese BERT-Networks[C]//Proceedings of the 2019 Conference on Empirical Methods in Natural Language Processing (EMNLP). ACL, 2019: 3982-3992.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18"/>
        </w:rPr>
        <w:t>[5] Wang L, Yang N, Huang X, et al. Text Embeddings by Weakly-Supervised Contrastive Pre-training[C]//Proceedings of the 2024 Conference on Empirical Methods in Natural Language Processing (EMNLP). ACL, 2024.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18"/>
        </w:rPr>
        <w:t>[6] Karpukhin V, Oguz B, Min S, et al. Dense Passage Retrieval for Open-Domain Question Answering[C]//Proceedings of the 2020 Conference on Empirical Methods in Natural Language Processing (EMNLP). ACL, 2020: 6769-6781.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18"/>
        </w:rPr>
        <w:t>[7] Bevendorff J, Dementieva D, Fröbe M, et al. Overview of PAN 2025: Generative AI Detection, Multilingual Text Detoxification, Multi-author Writing Style Analysis, and Generative Plagiarism Detection - Extended Abstract[C]//Proceedings of the 47th European Conference on Information Retrieval (ECIR 2025). Springer LNCS, Vol. 15576, 2025: 434-441.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