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val="0"/>
          <w:sz w:val="16"/>
        </w:rPr>
        <w:t>CLEF 2026 Working Notes, 22–26 September 2026, Thessaloniki, Greece</w:t>
      </w:r>
    </w:p>
    <w:p>
      <w:pPr>
        <w:jc w:val="center"/>
      </w:pPr>
      <w:r>
        <w:rPr>
          <w:rFonts w:ascii="Times New Roman" w:hAnsi="Times New Roman"/>
          <w:i/>
          <w:sz w:val="14"/>
        </w:rPr>
        <w:t>Copyright © 2026 for this paper by its authors. Use permitted under Creative Commons License Attribution 4.0 International (CC BY 4.0).</w:t>
      </w:r>
    </w:p>
    <w:p/>
    <w:p>
      <w:pPr>
        <w:jc w:val="center"/>
      </w:pPr>
      <w:r>
        <w:rPr>
          <w:rFonts w:ascii="Times New Roman" w:hAnsi="Times New Roman"/>
          <w:b/>
          <w:sz w:val="28"/>
        </w:rPr>
        <w:t>Team fosuai at PAN 2026: Source Retrieval via Query-Chunk Provenance Modeling for Generative Plagiarism Detection</w:t>
      </w:r>
    </w:p>
    <w:p>
      <w:pPr>
        <w:jc w:val="center"/>
      </w:pPr>
      <w:r>
        <w:rPr>
          <w:rFonts w:ascii="Times New Roman" w:hAnsi="Times New Roman"/>
          <w:i/>
          <w:sz w:val="20"/>
        </w:rPr>
        <w:t>Notebook for the PAN Lab at CLEF 2026</w:t>
      </w:r>
    </w:p>
    <w:p>
      <w:pPr>
        <w:jc w:val="center"/>
      </w:pPr>
      <w:r>
        <w:rPr>
          <w:rFonts w:ascii="Times New Roman" w:hAnsi="Times New Roman"/>
          <w:sz w:val="20"/>
        </w:rPr>
        <w:t>Yi Wang[0009-0000-0000-0000]¹    Zhongyuan Han[0009-0000-0000-0000]¹(✉)</w:t>
      </w:r>
    </w:p>
    <w:p>
      <w:pPr>
        <w:jc w:val="center"/>
      </w:pPr>
      <w:r>
        <w:rPr>
          <w:rFonts w:ascii="Times New Roman" w:hAnsi="Times New Roman"/>
          <w:sz w:val="18"/>
        </w:rPr>
        <w:t>¹ Foshan University, School of Computer Science and Artificial Intelligence, Foshan 528000, Guangdong, China</w:t>
      </w:r>
    </w:p>
    <w:p>
      <w:pPr>
        <w:jc w:val="center"/>
      </w:pPr>
      <w:r>
        <w:rPr>
          <w:rFonts w:ascii="Times New Roman" w:hAnsi="Times New Roman"/>
          <w:sz w:val="18"/>
        </w:rPr>
        <w:t>✉ Corresponding author: wangyi0187@icloud.com</w:t>
      </w:r>
    </w:p>
    <w:p/>
    <w:p>
      <w:pPr>
        <w:spacing w:before="160"/>
      </w:pPr>
      <w:r>
        <w:rPr>
          <w:rFonts w:ascii="Times New Roman" w:hAnsi="Times New Roman"/>
          <w:b/>
          <w:sz w:val="22"/>
        </w:rPr>
        <w:t>Abstract</w:t>
      </w:r>
    </w:p>
    <w:p>
      <w:pPr>
        <w:spacing w:before="0" w:after="60" w:line="276" w:lineRule="auto"/>
      </w:pPr>
      <w:r>
        <w:rPr>
          <w:rFonts w:ascii="Times New Roman" w:hAnsi="Times New Roman"/>
          <w:b w:val="0"/>
          <w:sz w:val="18"/>
        </w:rPr>
        <w:t>Generative plagiarism detection poses a novel challenge: LLM-generated suspicious texts often composite content from multiple distinct sources, causing multi-source signal dilution when the entire document is treated as a single query. We propose a Query-Chunk Provenance Modeling approach for source retrieval. The suspicious document is decomposed into paragraph-level segments; each segment independently retrieves candidate sources via BM25; and a coverage-weighted voting mechanism aggregates segment-level results into a provenance graph. Our method is lightweight—requiring only numpy—and has been deployed as a Docker submission on TIRA (team fosuai, software oscillating-list). On the official PAN26 main test set, our system achieved RR=0.9350 (ranked 3rd by RR) and improved over the BM25 baseline on Recall@10 (0.630 vs. 0.577) and nDCG@10 (0.626 vs. 0.553). On held-out development data (7,949 documents, 5,522 queries), paragraph-segmented BM25 reaches R@10=0.9947 (baseline: 0.9804) and MRR=0.9724 (baseline: 0.9174).</w:t>
      </w:r>
    </w:p>
    <w:p>
      <w:pPr>
        <w:spacing w:before="0" w:after="60" w:line="276" w:lineRule="auto"/>
      </w:pPr>
      <w:r>
        <w:rPr>
          <w:rFonts w:ascii="Times New Roman" w:hAnsi="Times New Roman"/>
          <w:b w:val="0"/>
          <w:sz w:val="18"/>
        </w:rPr>
        <w:t>Keywords: Generative Plagiarism Detection · Source Retrieval · Query Segmentation · Provenance Modeling · BM25 · Coverage-Weighted Voting</w:t>
      </w:r>
    </w:p>
    <w:p>
      <w:pPr>
        <w:spacing w:before="160"/>
      </w:pPr>
      <w:r>
        <w:rPr>
          <w:rFonts w:ascii="Times New Roman" w:hAnsi="Times New Roman"/>
          <w:b/>
          <w:sz w:val="22"/>
        </w:rPr>
        <w:t>1  Introduction</w:t>
      </w:r>
    </w:p>
    <w:p>
      <w:pPr>
        <w:spacing w:before="0" w:after="60" w:line="276" w:lineRule="auto"/>
      </w:pPr>
      <w:r>
        <w:rPr>
          <w:rFonts w:ascii="Times New Roman" w:hAnsi="Times New Roman"/>
          <w:b w:val="0"/>
          <w:sz w:val="18"/>
        </w:rPr>
        <w:t>The PAN@CLEF 2026 Generative Plagiarism Detection task (Task 4) addresses a rapidly emerging challenge: Large Language Models (LLMs) can synthesize, recombine, and rewrite content from dozens of source documents into a single suspicious text, where different paragraphs may originate from entirely different sources. The task consists of two stages: (1) Source Retrieval—identify source documents from a large corpus given a suspicious document; and (2) Text Alignment—precisely locate plagiarized passages at character level. This paper focuses on Stage 1.</w:t>
      </w:r>
    </w:p>
    <w:p>
      <w:pPr>
        <w:spacing w:before="0" w:after="60" w:line="276" w:lineRule="auto"/>
      </w:pPr>
      <w:r>
        <w:rPr>
          <w:rFonts w:ascii="Times New Roman" w:hAnsi="Times New Roman"/>
          <w:b w:val="0"/>
          <w:sz w:val="18"/>
        </w:rPr>
        <w:t xml:space="preserve">Existing source retrieval methods predominantly adopt a document-level querying paradigm: the entire suspicious document is encoded as a single query vector or bag-of-words, and a relevance score is computed against each candidate document. While effective for single-source plagiarism, this paradigm suffers from multi-source signal dilution. When a suspicious text composites content from Source A's introduction, Source B's methodology, and Source C's results, the query signal becomes a noisy mixture of multiple provenance fingerprints. Each individual source's matching signal is diluted by noise from other sources, causing the true source to be ranked outside the top retrieval positions [1-3]. </w:t>
      </w:r>
    </w:p>
    <w:p>
      <w:pPr>
        <w:spacing w:before="0" w:after="60" w:line="276" w:lineRule="auto"/>
      </w:pPr>
      <w:r>
        <w:rPr>
          <w:rFonts w:ascii="Times New Roman" w:hAnsi="Times New Roman"/>
          <w:b w:val="0"/>
          <w:sz w:val="18"/>
        </w:rPr>
        <w:t>To address this problem, we propose Query-Chunk Provenance Modeling. Rather than treating the suspicious document as a monolithic query, we decompose it into paragraph-level semantic segments. Each segment independently retrieves candidate sources, and a coverage-weighted voting mechanism aggregates the results. Documents matched by multiple independent segments receive a coverage bonus—a strong signal of genuine multi-paragraph provenance. This approach explicitly models the provenance structure of multi-source plagiarism while maintaining a lightweight implementation (numpy only, no GPU required).</w:t>
      </w:r>
    </w:p>
    <w:p>
      <w:pPr>
        <w:spacing w:before="160"/>
      </w:pPr>
      <w:r>
        <w:rPr>
          <w:rFonts w:ascii="Times New Roman" w:hAnsi="Times New Roman"/>
          <w:b/>
          <w:sz w:val="22"/>
        </w:rPr>
        <w:t>2  Related Work</w:t>
      </w:r>
    </w:p>
    <w:p>
      <w:pPr>
        <w:spacing w:before="0" w:after="60" w:line="276" w:lineRule="auto"/>
      </w:pPr>
      <w:r>
        <w:rPr>
          <w:rFonts w:ascii="Times New Roman" w:hAnsi="Times New Roman"/>
          <w:b w:val="0"/>
          <w:sz w:val="18"/>
        </w:rPr>
        <w:t>Source retrieval has been a core component of PAN plagiarism detection tasks since PAN 2014 [3]. Early approaches relied on lexical matching: word n-gram overlap, fingerprinting, and BM25 [4] have proven effective for verbatim and lightly-paraphrased plagiarism. Dense retrieval methods using sentence encoders such as Sentence-BERT [5] and E5 [6] project documents into a dense vector space for semantic matching, achieving better generalization on heavily paraphrased texts. Chunk-based retrieval [7] splits documents into fixed-size segments for independent encoding and max-pooling aggregation, but applies splitting only on the document side while keeping the query as a single unit. Query decomposition techniques [8] split complex queries into sub-queries for multi-hop QA, but have not been applied to plagiarism-specific segmentation strategies. Our work differs from all of the above by modeling provenance structure on the query side: decomposing the suspicious document itself to isolate individual source signals before retrieval.</w:t>
      </w:r>
    </w:p>
    <w:p>
      <w:pPr>
        <w:spacing w:before="160"/>
      </w:pPr>
      <w:r>
        <w:rPr>
          <w:rFonts w:ascii="Times New Roman" w:hAnsi="Times New Roman"/>
          <w:b/>
          <w:sz w:val="22"/>
        </w:rPr>
        <w:t>3  Method</w:t>
      </w:r>
    </w:p>
    <w:p>
      <w:pPr>
        <w:spacing w:before="160"/>
      </w:pPr>
      <w:r>
        <w:rPr>
          <w:rFonts w:ascii="Times New Roman" w:hAnsi="Times New Roman"/>
          <w:b/>
          <w:sz w:val="21"/>
        </w:rPr>
        <w:t>3.1  Task Formulation</w:t>
      </w:r>
    </w:p>
    <w:p>
      <w:pPr>
        <w:spacing w:before="0" w:after="60" w:line="276" w:lineRule="auto"/>
      </w:pPr>
      <w:r>
        <w:rPr>
          <w:rFonts w:ascii="Times New Roman" w:hAnsi="Times New Roman"/>
          <w:b w:val="0"/>
          <w:sz w:val="18"/>
        </w:rPr>
        <w:t>Given a source corpus C = {d₁, d₂, ..., dN} (N = 60,592 academic documents from ClueWeb09) and a suspicious document q, source retrieval aims to produce a ranked list R(q) = [d_r₁, ..., d_rK] such that the true source document d*(q) appears as high as possible. In generative plagiarism, q may be synthesized from multiple sources, though evaluation considers one primary source per q. Retrieval quality is measured by Recall@K, nDCG@K, MRR, and Reciprocal Rank (RR).</w:t>
      </w:r>
    </w:p>
    <w:p>
      <w:pPr>
        <w:spacing w:before="160"/>
      </w:pPr>
      <w:r>
        <w:rPr>
          <w:rFonts w:ascii="Times New Roman" w:hAnsi="Times New Roman"/>
          <w:b/>
          <w:sz w:val="21"/>
        </w:rPr>
        <w:t>3.2  Query-Chunk Provenance Modeling</w:t>
      </w:r>
    </w:p>
    <w:p>
      <w:pPr>
        <w:spacing w:before="0" w:after="60" w:line="276" w:lineRule="auto"/>
      </w:pPr>
      <w:r>
        <w:rPr>
          <w:rFonts w:ascii="Times New Roman" w:hAnsi="Times New Roman"/>
          <w:b w:val="0"/>
          <w:sz w:val="18"/>
        </w:rPr>
        <w:t>Our method consists of three stages, illustrated in Figure 1.</w:t>
      </w:r>
    </w:p>
    <w:p>
      <w:pPr>
        <w:spacing w:before="0" w:after="60" w:line="276" w:lineRule="auto"/>
      </w:pPr>
      <w:r>
        <w:rPr>
          <w:rFonts w:ascii="Times New Roman" w:hAnsi="Times New Roman"/>
          <w:b w:val="0"/>
          <w:sz w:val="16"/>
        </w:rPr>
        <w:t>[Figure 1: Overall architecture. Left: Suspicious document → Paragraph split → Query chunks C₁..Cn. Center: Each chunk independently performs BM25 retrieval → Segment-level candidate lists. Right: Coverage-weighted voting → Final ranked source list. Dashed boxes highlight two key modules: Paragraph Segmentation and Coverage-Weighted Voting.]</w:t>
      </w:r>
    </w:p>
    <w:p>
      <w:pPr>
        <w:spacing w:before="0" w:after="60" w:line="276" w:lineRule="auto"/>
      </w:pPr>
      <w:r>
        <w:rPr>
          <w:rFonts w:ascii="Times New Roman" w:hAnsi="Times New Roman"/>
          <w:b w:val="0"/>
          <w:sz w:val="18"/>
        </w:rPr>
        <w:t>Stage 1—Paragraph-Level Query Segmentation. The suspicious document q is split by double-newline paragraph boundaries. Adjacent paragraphs are merged until reaching max_chars=3,000, with chunks shorter than min_chars=800 discarded. Output is capped at 20 chunks. This produces semantically coherent segments roughly corresponding to academic document section structure. For documents lacking paragraph structure, the entire text is treated as a single segment.</w:t>
      </w:r>
    </w:p>
    <w:p>
      <w:pPr>
        <w:spacing w:before="0" w:after="60" w:line="276" w:lineRule="auto"/>
      </w:pPr>
      <w:r>
        <w:rPr>
          <w:rFonts w:ascii="Times New Roman" w:hAnsi="Times New Roman"/>
          <w:b w:val="0"/>
          <w:sz w:val="18"/>
        </w:rPr>
        <w:t>Stage 2—Independent Segment Retrieval. Each segment cᵢ independently performs BM25 retrieval with optimized parameters: max_terms=20 (vs. 100 for full-document queries, since short segments contain fewer discriminative terms) and max_df=5,000 (filtering terms appearing in &gt;5,000 documents, ~8% of the corpus). Without filtering, segment-level BM25 is 85–150× slower than full-document BM25 because segments contain mostly common academic function words with very long posting lists (30K–50K entries). The max_df threshold eliminates these non-discriminative terms, achieving an ~20× speedup (1.7–3.0s → 0.15s per segment). Heap-based top-K extraction (heapq.nlargest) replaces full sorting for additional efficiency.</w:t>
      </w:r>
    </w:p>
    <w:p>
      <w:pPr>
        <w:spacing w:before="0" w:after="60" w:line="276" w:lineRule="auto"/>
      </w:pPr>
      <w:r>
        <w:rPr>
          <w:rFonts w:ascii="Times New Roman" w:hAnsi="Times New Roman"/>
          <w:b w:val="0"/>
          <w:sz w:val="18"/>
        </w:rPr>
        <w:t>Stage 3—Coverage-Weighted Source Voting. Segment-level rankings are aggregated into a final ranking via: Score(d) = Σᵢ BM25(d|cᵢ) × (1 + count(d)/n), where count(d) is the number of segments that retrieved document d in their top-50 results, and n is the total number of segments. The coverage bonus (1 + count(d)/n) ∈ [1, 2] rewards documents consistently matched by multiple independent segments—a strong signal of genuine multi-paragraph provenance rather than incidental single-phrase matching. This mechanism can be viewed as constructing an explicit provenance graph: nodes are query segments and candidate documents, edges represent segment-document matches, and the final ranking reflects each document's global importance in the graph.</w:t>
      </w:r>
    </w:p>
    <w:p>
      <w:pPr>
        <w:spacing w:before="160"/>
      </w:pPr>
      <w:r>
        <w:rPr>
          <w:rFonts w:ascii="Times New Roman" w:hAnsi="Times New Roman"/>
          <w:b/>
          <w:sz w:val="22"/>
        </w:rPr>
        <w:t>4  Experiments</w:t>
      </w:r>
    </w:p>
    <w:p>
      <w:pPr>
        <w:spacing w:before="160"/>
      </w:pPr>
      <w:r>
        <w:rPr>
          <w:rFonts w:ascii="Times New Roman" w:hAnsi="Times New Roman"/>
          <w:b/>
          <w:sz w:val="21"/>
        </w:rPr>
        <w:t>4.1  Experimental Setup</w:t>
      </w:r>
    </w:p>
    <w:p>
      <w:pPr>
        <w:spacing w:before="160"/>
      </w:pPr>
      <w:r>
        <w:rPr>
          <w:rFonts w:ascii="Times New Roman" w:hAnsi="Times New Roman"/>
          <w:b/>
          <w:sz w:val="20"/>
        </w:rPr>
        <w:t>4.1.1  Dataset</w:t>
      </w:r>
    </w:p>
    <w:p>
      <w:pPr>
        <w:spacing w:before="0" w:after="60" w:line="276" w:lineRule="auto"/>
      </w:pPr>
      <w:r>
        <w:rPr>
          <w:rFonts w:ascii="Times New Roman" w:hAnsi="Times New Roman"/>
          <w:b w:val="0"/>
          <w:sz w:val="18"/>
        </w:rPr>
        <w:t>Development data comes from the PAN 2025 generative plagiarism detection dataset converted to PAN26 format: 60,592 source documents from ClueWeb09 (avg. 11,765 tokens), 42,444 LLM-generated suspicious documents (training), 5,522 held-out queries with 7,949 source documents, and 43,140 query-document relevance annotations (qrels). The PAN26 official spot-check dataset (4 queries) was used only for format verification and TIRA submission validation. Official main test set results are from TIRA (accessed May 25, 2026).</w:t>
      </w:r>
    </w:p>
    <w:p>
      <w:pPr>
        <w:spacing w:before="160"/>
      </w:pPr>
      <w:r>
        <w:rPr>
          <w:rFonts w:ascii="Times New Roman" w:hAnsi="Times New Roman"/>
          <w:b/>
          <w:sz w:val="20"/>
        </w:rPr>
        <w:t>4.1.2  Preprocessing</w:t>
      </w:r>
    </w:p>
    <w:p>
      <w:pPr>
        <w:spacing w:before="0" w:after="60" w:line="276" w:lineRule="auto"/>
      </w:pPr>
      <w:r>
        <w:rPr>
          <w:rFonts w:ascii="Times New Roman" w:hAnsi="Times New Roman"/>
          <w:b w:val="0"/>
          <w:sz w:val="18"/>
        </w:rPr>
        <w:t>All texts are lowercased and tokenized via regex [a-z0-9]+. An inverted index is built with 1,273,004 unique terms. BM25 parameters: k₁=1.2, b=0.75. Paragraph segmentation: min_chars=800, max_chars=3,000. Segment retrieval: max_terms=20, max_df=5,000, top_k=50. Standard retrieval: max_terms=100, top_k=100. All metrics are evaluated using scripts/evaluate.py (supporting multi-relevant qrels).</w:t>
      </w:r>
    </w:p>
    <w:p>
      <w:pPr>
        <w:spacing w:before="160"/>
      </w:pPr>
      <w:r>
        <w:rPr>
          <w:rFonts w:ascii="Times New Roman" w:hAnsi="Times New Roman"/>
          <w:b/>
          <w:sz w:val="20"/>
        </w:rPr>
        <w:t>4.1.3  Evaluation Metrics</w:t>
      </w:r>
    </w:p>
    <w:p>
      <w:pPr>
        <w:spacing w:before="0" w:after="60" w:line="276" w:lineRule="auto"/>
      </w:pPr>
      <w:r>
        <w:rPr>
          <w:rFonts w:ascii="Times New Roman" w:hAnsi="Times New Roman"/>
          <w:b w:val="0"/>
          <w:sz w:val="18"/>
        </w:rPr>
        <w:t>Four standard IR metrics are used: (1) Recall@K (K=10, 100)—proportion of queries where the correct source appears in the top-K results; (2) nDCG@10—Normalized Discounted Cumulative Gain with position weighting; (3) MRR—Mean Reciprocal Rank; (4) RR—Reciprocal Rank, used by the official TIRA evaluation. All metrics range [0, 1], higher is better.</w:t>
      </w:r>
    </w:p>
    <w:p>
      <w:pPr>
        <w:spacing w:before="160"/>
      </w:pPr>
      <w:r>
        <w:rPr>
          <w:rFonts w:ascii="Times New Roman" w:hAnsi="Times New Roman"/>
          <w:b/>
          <w:sz w:val="20"/>
        </w:rPr>
        <w:t>4.1.4  Baselines</w:t>
      </w:r>
    </w:p>
    <w:p>
      <w:pPr>
        <w:spacing w:before="0" w:after="60" w:line="276" w:lineRule="auto"/>
      </w:pPr>
      <w:r>
        <w:rPr>
          <w:rFonts w:ascii="Times New Roman" w:hAnsi="Times New Roman"/>
          <w:b w:val="0"/>
          <w:sz w:val="18"/>
        </w:rPr>
        <w:t>Three comparison categories: (1) Standard BM25—full document as single query, max_terms=100. (2) E5 Chunking—256-token document chunks encoded with E5-base-v2, coverage-aware scoring for BM25 blind-spot queries. (3) Ablation variants—fixed-chunk segmentation (3,000-char rolling windows) and semantic segmentation (section header pattern matching). All methods share identical inverted indexes and BM25 parameters for fair comparison.</w:t>
      </w:r>
    </w:p>
    <w:p>
      <w:pPr>
        <w:spacing w:before="160"/>
      </w:pPr>
      <w:r>
        <w:rPr>
          <w:rFonts w:ascii="Times New Roman" w:hAnsi="Times New Roman"/>
          <w:b/>
          <w:sz w:val="21"/>
        </w:rPr>
        <w:t>4.2  Results and Analysis</w:t>
      </w:r>
    </w:p>
    <w:p>
      <w:pPr>
        <w:spacing w:before="0" w:after="60" w:line="276" w:lineRule="auto"/>
      </w:pPr>
      <w:r>
        <w:rPr>
          <w:rFonts w:ascii="Times New Roman" w:hAnsi="Times New Roman"/>
          <w:b/>
          <w:sz w:val="18"/>
        </w:rPr>
        <w:t>Table 1: Development data method overview</w:t>
      </w:r>
    </w:p>
    <w:tbl>
      <w:tblPr>
        <w:tblStyle w:val="TableGrid"/>
        <w:tblW w:type="auto" w:w="0"/>
        <w:tblLook w:firstColumn="1" w:firstRow="1" w:lastColumn="0" w:lastRow="0" w:noHBand="0" w:noVBand="1" w:val="04A0"/>
      </w:tblPr>
      <w:tblGrid>
        <w:gridCol w:w="1663"/>
        <w:gridCol w:w="1663"/>
        <w:gridCol w:w="1663"/>
        <w:gridCol w:w="1663"/>
        <w:gridCol w:w="1663"/>
        <w:gridCol w:w="1663"/>
      </w:tblGrid>
      <w:tr>
        <w:tc>
          <w:tcPr>
            <w:tcW w:type="dxa" w:w="1663"/>
          </w:tcPr>
          <w:p>
            <w:r>
              <w:rPr>
                <w:rFonts w:ascii="Times New Roman" w:hAnsi="Times New Roman"/>
                <w:b/>
                <w:sz w:val="16"/>
              </w:rPr>
              <w:t>Method</w:t>
            </w:r>
          </w:p>
        </w:tc>
        <w:tc>
          <w:tcPr>
            <w:tcW w:type="dxa" w:w="1663"/>
          </w:tcPr>
          <w:p>
            <w:r>
              <w:rPr>
                <w:rFonts w:ascii="Times New Roman" w:hAnsi="Times New Roman"/>
                <w:b/>
                <w:sz w:val="16"/>
              </w:rPr>
              <w:t>R@10</w:t>
            </w:r>
          </w:p>
        </w:tc>
        <w:tc>
          <w:tcPr>
            <w:tcW w:type="dxa" w:w="1663"/>
          </w:tcPr>
          <w:p>
            <w:r>
              <w:rPr>
                <w:rFonts w:ascii="Times New Roman" w:hAnsi="Times New Roman"/>
                <w:b/>
                <w:sz w:val="16"/>
              </w:rPr>
              <w:t>R@100</w:t>
            </w:r>
          </w:p>
        </w:tc>
        <w:tc>
          <w:tcPr>
            <w:tcW w:type="dxa" w:w="1663"/>
          </w:tcPr>
          <w:p>
            <w:r>
              <w:rPr>
                <w:rFonts w:ascii="Times New Roman" w:hAnsi="Times New Roman"/>
                <w:b/>
                <w:sz w:val="16"/>
              </w:rPr>
              <w:t>nDCG@10</w:t>
            </w:r>
          </w:p>
        </w:tc>
        <w:tc>
          <w:tcPr>
            <w:tcW w:type="dxa" w:w="1663"/>
          </w:tcPr>
          <w:p>
            <w:r>
              <w:rPr>
                <w:rFonts w:ascii="Times New Roman" w:hAnsi="Times New Roman"/>
                <w:b/>
                <w:sz w:val="16"/>
              </w:rPr>
              <w:t>MRR</w:t>
            </w:r>
          </w:p>
        </w:tc>
        <w:tc>
          <w:tcPr>
            <w:tcW w:type="dxa" w:w="1663"/>
          </w:tcPr>
          <w:p>
            <w:r>
              <w:rPr>
                <w:rFonts w:ascii="Times New Roman" w:hAnsi="Times New Roman"/>
                <w:b/>
                <w:sz w:val="16"/>
              </w:rPr>
              <w:t>Data Scale</w:t>
            </w:r>
          </w:p>
        </w:tc>
      </w:tr>
      <w:tr>
        <w:tc>
          <w:tcPr>
            <w:tcW w:type="dxa" w:w="1663"/>
          </w:tcPr>
          <w:p>
            <w:r>
              <w:rPr>
                <w:rFonts w:ascii="Times New Roman" w:hAnsi="Times New Roman"/>
                <w:sz w:val="16"/>
              </w:rPr>
              <w:t>Standard BM25</w:t>
            </w:r>
          </w:p>
        </w:tc>
        <w:tc>
          <w:tcPr>
            <w:tcW w:type="dxa" w:w="1663"/>
          </w:tcPr>
          <w:p>
            <w:r>
              <w:rPr>
                <w:rFonts w:ascii="Times New Roman" w:hAnsi="Times New Roman"/>
                <w:sz w:val="16"/>
              </w:rPr>
              <w:t>0.9196</w:t>
            </w:r>
          </w:p>
        </w:tc>
        <w:tc>
          <w:tcPr>
            <w:tcW w:type="dxa" w:w="1663"/>
          </w:tcPr>
          <w:p>
            <w:r>
              <w:rPr>
                <w:rFonts w:ascii="Times New Roman" w:hAnsi="Times New Roman"/>
                <w:sz w:val="16"/>
              </w:rPr>
              <w:t>0.9769</w:t>
            </w:r>
          </w:p>
        </w:tc>
        <w:tc>
          <w:tcPr>
            <w:tcW w:type="dxa" w:w="1663"/>
          </w:tcPr>
          <w:p>
            <w:r>
              <w:rPr>
                <w:rFonts w:ascii="Times New Roman" w:hAnsi="Times New Roman"/>
                <w:sz w:val="16"/>
              </w:rPr>
              <w:t>0.8184</w:t>
            </w:r>
          </w:p>
        </w:tc>
        <w:tc>
          <w:tcPr>
            <w:tcW w:type="dxa" w:w="1663"/>
          </w:tcPr>
          <w:p>
            <w:r>
              <w:rPr>
                <w:rFonts w:ascii="Times New Roman" w:hAnsi="Times New Roman"/>
                <w:sz w:val="16"/>
              </w:rPr>
              <w:t>0.7856</w:t>
            </w:r>
          </w:p>
        </w:tc>
        <w:tc>
          <w:tcPr>
            <w:tcW w:type="dxa" w:w="1663"/>
          </w:tcPr>
          <w:p>
            <w:r>
              <w:rPr>
                <w:rFonts w:ascii="Times New Roman" w:hAnsi="Times New Roman"/>
                <w:sz w:val="16"/>
              </w:rPr>
              <w:t>42,444q (full train)</w:t>
            </w:r>
          </w:p>
        </w:tc>
      </w:tr>
      <w:tr>
        <w:tc>
          <w:tcPr>
            <w:tcW w:type="dxa" w:w="1663"/>
          </w:tcPr>
          <w:p>
            <w:r>
              <w:rPr>
                <w:rFonts w:ascii="Times New Roman" w:hAnsi="Times New Roman"/>
                <w:sz w:val="16"/>
              </w:rPr>
              <w:t>+ Query Decomposition</w:t>
            </w:r>
          </w:p>
        </w:tc>
        <w:tc>
          <w:tcPr>
            <w:tcW w:type="dxa" w:w="1663"/>
          </w:tcPr>
          <w:p>
            <w:r>
              <w:rPr>
                <w:rFonts w:ascii="Times New Roman" w:hAnsi="Times New Roman"/>
                <w:sz w:val="16"/>
              </w:rPr>
              <w:t>0.9317</w:t>
            </w:r>
          </w:p>
        </w:tc>
        <w:tc>
          <w:tcPr>
            <w:tcW w:type="dxa" w:w="1663"/>
          </w:tcPr>
          <w:p>
            <w:r>
              <w:rPr>
                <w:rFonts w:ascii="Times New Roman" w:hAnsi="Times New Roman"/>
                <w:sz w:val="16"/>
              </w:rPr>
              <w:t>0.9890</w:t>
            </w:r>
          </w:p>
        </w:tc>
        <w:tc>
          <w:tcPr>
            <w:tcW w:type="dxa" w:w="1663"/>
          </w:tcPr>
          <w:p>
            <w:r>
              <w:rPr>
                <w:rFonts w:ascii="Times New Roman" w:hAnsi="Times New Roman"/>
                <w:sz w:val="16"/>
              </w:rPr>
              <w:t>0.8274</w:t>
            </w:r>
          </w:p>
        </w:tc>
        <w:tc>
          <w:tcPr>
            <w:tcW w:type="dxa" w:w="1663"/>
          </w:tcPr>
          <w:p>
            <w:r>
              <w:rPr>
                <w:rFonts w:ascii="Times New Roman" w:hAnsi="Times New Roman"/>
                <w:sz w:val="16"/>
              </w:rPr>
              <w:t>0.7937</w:t>
            </w:r>
          </w:p>
        </w:tc>
        <w:tc>
          <w:tcPr>
            <w:tcW w:type="dxa" w:w="1663"/>
          </w:tcPr>
          <w:p>
            <w:r>
              <w:rPr>
                <w:rFonts w:ascii="Times New Roman" w:hAnsi="Times New Roman"/>
                <w:sz w:val="16"/>
              </w:rPr>
              <w:t>982q (Cat1 blind-spot)</w:t>
            </w:r>
          </w:p>
        </w:tc>
      </w:tr>
      <w:tr>
        <w:tc>
          <w:tcPr>
            <w:tcW w:type="dxa" w:w="1663"/>
          </w:tcPr>
          <w:p>
            <w:r>
              <w:rPr>
                <w:rFonts w:ascii="Times New Roman" w:hAnsi="Times New Roman"/>
                <w:sz w:val="16"/>
              </w:rPr>
              <w:t>+ E5 Chunking</w:t>
            </w:r>
          </w:p>
        </w:tc>
        <w:tc>
          <w:tcPr>
            <w:tcW w:type="dxa" w:w="1663"/>
          </w:tcPr>
          <w:p>
            <w:r>
              <w:rPr>
                <w:rFonts w:ascii="Times New Roman" w:hAnsi="Times New Roman"/>
                <w:sz w:val="16"/>
              </w:rPr>
              <w:t>0.9830</w:t>
            </w:r>
          </w:p>
        </w:tc>
        <w:tc>
          <w:tcPr>
            <w:tcW w:type="dxa" w:w="1663"/>
          </w:tcPr>
          <w:p>
            <w:r>
              <w:rPr>
                <w:rFonts w:ascii="Times New Roman" w:hAnsi="Times New Roman"/>
                <w:sz w:val="16"/>
              </w:rPr>
              <w:t>0.9917</w:t>
            </w:r>
          </w:p>
        </w:tc>
        <w:tc>
          <w:tcPr>
            <w:tcW w:type="dxa" w:w="1663"/>
          </w:tcPr>
          <w:p>
            <w:r>
              <w:rPr>
                <w:rFonts w:ascii="Times New Roman" w:hAnsi="Times New Roman"/>
                <w:sz w:val="16"/>
              </w:rPr>
              <w:t>0.8716</w:t>
            </w:r>
          </w:p>
        </w:tc>
        <w:tc>
          <w:tcPr>
            <w:tcW w:type="dxa" w:w="1663"/>
          </w:tcPr>
          <w:p>
            <w:r>
              <w:rPr>
                <w:rFonts w:ascii="Times New Roman" w:hAnsi="Times New Roman"/>
                <w:sz w:val="16"/>
              </w:rPr>
              <w:t>0.8355</w:t>
            </w:r>
          </w:p>
        </w:tc>
        <w:tc>
          <w:tcPr>
            <w:tcW w:type="dxa" w:w="1663"/>
          </w:tcPr>
          <w:p>
            <w:r>
              <w:rPr>
                <w:rFonts w:ascii="Times New Roman" w:hAnsi="Times New Roman"/>
                <w:sz w:val="16"/>
              </w:rPr>
              <w:t>42,444q (full train)</w:t>
            </w:r>
          </w:p>
        </w:tc>
      </w:tr>
      <w:tr>
        <w:tc>
          <w:tcPr>
            <w:tcW w:type="dxa" w:w="1663"/>
          </w:tcPr>
          <w:p>
            <w:r>
              <w:rPr>
                <w:rFonts w:ascii="Times New Roman" w:hAnsi="Times New Roman"/>
                <w:sz w:val="16"/>
              </w:rPr>
              <w:t>Segmented BM25 (ours)*</w:t>
            </w:r>
          </w:p>
        </w:tc>
        <w:tc>
          <w:tcPr>
            <w:tcW w:type="dxa" w:w="1663"/>
          </w:tcPr>
          <w:p>
            <w:r>
              <w:rPr>
                <w:rFonts w:ascii="Times New Roman" w:hAnsi="Times New Roman"/>
                <w:sz w:val="16"/>
              </w:rPr>
              <w:t>0.9700</w:t>
            </w:r>
          </w:p>
        </w:tc>
        <w:tc>
          <w:tcPr>
            <w:tcW w:type="dxa" w:w="1663"/>
          </w:tcPr>
          <w:p>
            <w:r>
              <w:rPr>
                <w:rFonts w:ascii="Times New Roman" w:hAnsi="Times New Roman"/>
                <w:sz w:val="16"/>
              </w:rPr>
              <w:t>0.9912</w:t>
            </w:r>
          </w:p>
        </w:tc>
        <w:tc>
          <w:tcPr>
            <w:tcW w:type="dxa" w:w="1663"/>
          </w:tcPr>
          <w:p>
            <w:r>
              <w:rPr>
                <w:rFonts w:ascii="Times New Roman" w:hAnsi="Times New Roman"/>
                <w:sz w:val="16"/>
              </w:rPr>
              <w:t>0.9242</w:t>
            </w:r>
          </w:p>
        </w:tc>
        <w:tc>
          <w:tcPr>
            <w:tcW w:type="dxa" w:w="1663"/>
          </w:tcPr>
          <w:p>
            <w:r>
              <w:rPr>
                <w:rFonts w:ascii="Times New Roman" w:hAnsi="Times New Roman"/>
                <w:sz w:val="16"/>
              </w:rPr>
              <w:t>0.9092</w:t>
            </w:r>
          </w:p>
        </w:tc>
        <w:tc>
          <w:tcPr>
            <w:tcW w:type="dxa" w:w="1663"/>
          </w:tcPr>
          <w:p>
            <w:r>
              <w:rPr>
                <w:rFonts w:ascii="Times New Roman" w:hAnsi="Times New Roman"/>
                <w:sz w:val="16"/>
              </w:rPr>
              <w:t>800q sample (TIRA code)</w:t>
            </w:r>
          </w:p>
        </w:tc>
      </w:tr>
    </w:tbl>
    <w:p/>
    <w:p>
      <w:pPr>
        <w:spacing w:before="0" w:after="60" w:line="276" w:lineRule="auto"/>
      </w:pPr>
      <w:r>
        <w:rPr>
          <w:rFonts w:ascii="Times New Roman" w:hAnsi="Times New Roman"/>
          <w:b w:val="0"/>
          <w:sz w:val="16"/>
        </w:rPr>
        <w:t>*Segmented BM25 result from 800-query random sample (seed=20260520) using submit_pan26.py (exact TIRA submission code). Query Decomposition recovered 514/982 Cat1 blind-spot queries (52.3% recovery rate). E5 Chunking attains higher R@10 but requires a 440MB E5 model; our method is numpy-only.</w:t>
      </w:r>
    </w:p>
    <w:p>
      <w:pPr>
        <w:spacing w:before="0" w:after="60" w:line="276" w:lineRule="auto"/>
      </w:pPr>
      <w:r>
        <w:rPr>
          <w:rFonts w:ascii="Times New Roman" w:hAnsi="Times New Roman"/>
          <w:b/>
          <w:sz w:val="18"/>
        </w:rPr>
        <w:t>Table 2: Held-out validation (7,949 documents, 5,522 queries)</w:t>
      </w:r>
    </w:p>
    <w:tbl>
      <w:tblPr>
        <w:tblStyle w:val="TableGrid"/>
        <w:tblW w:type="auto" w:w="0"/>
        <w:tblLook w:firstColumn="1" w:firstRow="1" w:lastColumn="0" w:lastRow="0" w:noHBand="0" w:noVBand="1" w:val="04A0"/>
      </w:tblPr>
      <w:tblGrid>
        <w:gridCol w:w="1996"/>
        <w:gridCol w:w="1996"/>
        <w:gridCol w:w="1996"/>
        <w:gridCol w:w="1996"/>
        <w:gridCol w:w="1996"/>
      </w:tblGrid>
      <w:tr>
        <w:tc>
          <w:tcPr>
            <w:tcW w:type="dxa" w:w="1996"/>
          </w:tcPr>
          <w:p>
            <w:r>
              <w:rPr>
                <w:rFonts w:ascii="Times New Roman" w:hAnsi="Times New Roman"/>
                <w:b/>
                <w:sz w:val="16"/>
              </w:rPr>
              <w:t>Method</w:t>
            </w:r>
          </w:p>
        </w:tc>
        <w:tc>
          <w:tcPr>
            <w:tcW w:type="dxa" w:w="1996"/>
          </w:tcPr>
          <w:p>
            <w:r>
              <w:rPr>
                <w:rFonts w:ascii="Times New Roman" w:hAnsi="Times New Roman"/>
                <w:b/>
                <w:sz w:val="16"/>
              </w:rPr>
              <w:t>R@10</w:t>
            </w:r>
          </w:p>
        </w:tc>
        <w:tc>
          <w:tcPr>
            <w:tcW w:type="dxa" w:w="1996"/>
          </w:tcPr>
          <w:p>
            <w:r>
              <w:rPr>
                <w:rFonts w:ascii="Times New Roman" w:hAnsi="Times New Roman"/>
                <w:b/>
                <w:sz w:val="16"/>
              </w:rPr>
              <w:t>R@100</w:t>
            </w:r>
          </w:p>
        </w:tc>
        <w:tc>
          <w:tcPr>
            <w:tcW w:type="dxa" w:w="1996"/>
          </w:tcPr>
          <w:p>
            <w:r>
              <w:rPr>
                <w:rFonts w:ascii="Times New Roman" w:hAnsi="Times New Roman"/>
                <w:b/>
                <w:sz w:val="16"/>
              </w:rPr>
              <w:t>nDCG@10</w:t>
            </w:r>
          </w:p>
        </w:tc>
        <w:tc>
          <w:tcPr>
            <w:tcW w:type="dxa" w:w="1996"/>
          </w:tcPr>
          <w:p>
            <w:r>
              <w:rPr>
                <w:rFonts w:ascii="Times New Roman" w:hAnsi="Times New Roman"/>
                <w:b/>
                <w:sz w:val="16"/>
              </w:rPr>
              <w:t>MRR</w:t>
            </w:r>
          </w:p>
        </w:tc>
      </w:tr>
      <w:tr>
        <w:tc>
          <w:tcPr>
            <w:tcW w:type="dxa" w:w="1996"/>
          </w:tcPr>
          <w:p>
            <w:r>
              <w:rPr>
                <w:rFonts w:ascii="Times New Roman" w:hAnsi="Times New Roman"/>
                <w:sz w:val="16"/>
              </w:rPr>
              <w:t>Standard BM25</w:t>
            </w:r>
          </w:p>
        </w:tc>
        <w:tc>
          <w:tcPr>
            <w:tcW w:type="dxa" w:w="1996"/>
          </w:tcPr>
          <w:p>
            <w:r>
              <w:rPr>
                <w:rFonts w:ascii="Times New Roman" w:hAnsi="Times New Roman"/>
                <w:sz w:val="16"/>
              </w:rPr>
              <w:t>0.9804</w:t>
            </w:r>
          </w:p>
        </w:tc>
        <w:tc>
          <w:tcPr>
            <w:tcW w:type="dxa" w:w="1996"/>
          </w:tcPr>
          <w:p>
            <w:r>
              <w:rPr>
                <w:rFonts w:ascii="Times New Roman" w:hAnsi="Times New Roman"/>
                <w:sz w:val="16"/>
              </w:rPr>
              <w:t>0.9874</w:t>
            </w:r>
          </w:p>
        </w:tc>
        <w:tc>
          <w:tcPr>
            <w:tcW w:type="dxa" w:w="1996"/>
          </w:tcPr>
          <w:p>
            <w:r>
              <w:rPr>
                <w:rFonts w:ascii="Times New Roman" w:hAnsi="Times New Roman"/>
                <w:sz w:val="16"/>
              </w:rPr>
              <w:t>0.9323</w:t>
            </w:r>
          </w:p>
        </w:tc>
        <w:tc>
          <w:tcPr>
            <w:tcW w:type="dxa" w:w="1996"/>
          </w:tcPr>
          <w:p>
            <w:r>
              <w:rPr>
                <w:rFonts w:ascii="Times New Roman" w:hAnsi="Times New Roman"/>
                <w:sz w:val="16"/>
              </w:rPr>
              <w:t>0.9174</w:t>
            </w:r>
          </w:p>
        </w:tc>
      </w:tr>
      <w:tr>
        <w:tc>
          <w:tcPr>
            <w:tcW w:type="dxa" w:w="1996"/>
          </w:tcPr>
          <w:p>
            <w:r>
              <w:rPr>
                <w:rFonts w:ascii="Times New Roman" w:hAnsi="Times New Roman"/>
                <w:sz w:val="16"/>
              </w:rPr>
              <w:t>Segmented BM25 (ours)</w:t>
            </w:r>
          </w:p>
        </w:tc>
        <w:tc>
          <w:tcPr>
            <w:tcW w:type="dxa" w:w="1996"/>
          </w:tcPr>
          <w:p>
            <w:r>
              <w:rPr>
                <w:rFonts w:ascii="Times New Roman" w:hAnsi="Times New Roman"/>
                <w:sz w:val="16"/>
              </w:rPr>
              <w:t>0.9947</w:t>
            </w:r>
          </w:p>
        </w:tc>
        <w:tc>
          <w:tcPr>
            <w:tcW w:type="dxa" w:w="1996"/>
          </w:tcPr>
          <w:p>
            <w:r>
              <w:rPr>
                <w:rFonts w:ascii="Times New Roman" w:hAnsi="Times New Roman"/>
                <w:sz w:val="16"/>
              </w:rPr>
              <w:t>0.9969</w:t>
            </w:r>
          </w:p>
        </w:tc>
        <w:tc>
          <w:tcPr>
            <w:tcW w:type="dxa" w:w="1996"/>
          </w:tcPr>
          <w:p>
            <w:r>
              <w:rPr>
                <w:rFonts w:ascii="Times New Roman" w:hAnsi="Times New Roman"/>
                <w:sz w:val="16"/>
              </w:rPr>
              <w:t>0.9770</w:t>
            </w:r>
          </w:p>
        </w:tc>
        <w:tc>
          <w:tcPr>
            <w:tcW w:type="dxa" w:w="1996"/>
          </w:tcPr>
          <w:p>
            <w:r>
              <w:rPr>
                <w:rFonts w:ascii="Times New Roman" w:hAnsi="Times New Roman"/>
                <w:sz w:val="16"/>
              </w:rPr>
              <w:t>0.9724</w:t>
            </w:r>
          </w:p>
        </w:tc>
      </w:tr>
    </w:tbl>
    <w:p/>
    <w:p>
      <w:pPr>
        <w:spacing w:before="0" w:after="60" w:line="276" w:lineRule="auto"/>
      </w:pPr>
      <w:r>
        <w:rPr>
          <w:rFonts w:ascii="Times New Roman" w:hAnsi="Times New Roman"/>
          <w:b/>
          <w:sz w:val="18"/>
        </w:rPr>
        <w:t>Table 3: Segmentation strategy comparison (held-out)</w:t>
      </w:r>
    </w:p>
    <w:tbl>
      <w:tblPr>
        <w:tblStyle w:val="TableGrid"/>
        <w:tblW w:type="auto" w:w="0"/>
        <w:tblLook w:firstColumn="1" w:firstRow="1" w:lastColumn="0" w:lastRow="0" w:noHBand="0" w:noVBand="1" w:val="04A0"/>
      </w:tblPr>
      <w:tblGrid>
        <w:gridCol w:w="1996"/>
        <w:gridCol w:w="1996"/>
        <w:gridCol w:w="1996"/>
        <w:gridCol w:w="1996"/>
        <w:gridCol w:w="1996"/>
      </w:tblGrid>
      <w:tr>
        <w:tc>
          <w:tcPr>
            <w:tcW w:type="dxa" w:w="1996"/>
          </w:tcPr>
          <w:p>
            <w:r>
              <w:rPr>
                <w:rFonts w:ascii="Times New Roman" w:hAnsi="Times New Roman"/>
                <w:b/>
                <w:sz w:val="16"/>
              </w:rPr>
              <w:t>Strategy</w:t>
            </w:r>
          </w:p>
        </w:tc>
        <w:tc>
          <w:tcPr>
            <w:tcW w:type="dxa" w:w="1996"/>
          </w:tcPr>
          <w:p>
            <w:r>
              <w:rPr>
                <w:rFonts w:ascii="Times New Roman" w:hAnsi="Times New Roman"/>
                <w:b/>
                <w:sz w:val="16"/>
              </w:rPr>
              <w:t>R@10</w:t>
            </w:r>
          </w:p>
        </w:tc>
        <w:tc>
          <w:tcPr>
            <w:tcW w:type="dxa" w:w="1996"/>
          </w:tcPr>
          <w:p>
            <w:r>
              <w:rPr>
                <w:rFonts w:ascii="Times New Roman" w:hAnsi="Times New Roman"/>
                <w:b/>
                <w:sz w:val="16"/>
              </w:rPr>
              <w:t>MRR</w:t>
            </w:r>
          </w:p>
        </w:tc>
        <w:tc>
          <w:tcPr>
            <w:tcW w:type="dxa" w:w="1996"/>
          </w:tcPr>
          <w:p>
            <w:r>
              <w:rPr>
                <w:rFonts w:ascii="Times New Roman" w:hAnsi="Times New Roman"/>
                <w:b/>
                <w:sz w:val="16"/>
              </w:rPr>
              <w:t>Segmented%</w:t>
            </w:r>
          </w:p>
        </w:tc>
        <w:tc>
          <w:tcPr>
            <w:tcW w:type="dxa" w:w="1996"/>
          </w:tcPr>
          <w:p>
            <w:r>
              <w:rPr>
                <w:rFonts w:ascii="Times New Roman" w:hAnsi="Times New Roman"/>
                <w:b/>
                <w:sz w:val="16"/>
              </w:rPr>
              <w:t>Time (s)</w:t>
            </w:r>
          </w:p>
        </w:tc>
      </w:tr>
      <w:tr>
        <w:tc>
          <w:tcPr>
            <w:tcW w:type="dxa" w:w="1996"/>
          </w:tcPr>
          <w:p>
            <w:r>
              <w:rPr>
                <w:rFonts w:ascii="Times New Roman" w:hAnsi="Times New Roman"/>
                <w:sz w:val="16"/>
              </w:rPr>
              <w:t>No segmentation (BM25)</w:t>
            </w:r>
          </w:p>
        </w:tc>
        <w:tc>
          <w:tcPr>
            <w:tcW w:type="dxa" w:w="1996"/>
          </w:tcPr>
          <w:p>
            <w:r>
              <w:rPr>
                <w:rFonts w:ascii="Times New Roman" w:hAnsi="Times New Roman"/>
                <w:sz w:val="16"/>
              </w:rPr>
              <w:t>0.9804</w:t>
            </w:r>
          </w:p>
        </w:tc>
        <w:tc>
          <w:tcPr>
            <w:tcW w:type="dxa" w:w="1996"/>
          </w:tcPr>
          <w:p>
            <w:r>
              <w:rPr>
                <w:rFonts w:ascii="Times New Roman" w:hAnsi="Times New Roman"/>
                <w:sz w:val="16"/>
              </w:rPr>
              <w:t>0.9174</w:t>
            </w:r>
          </w:p>
        </w:tc>
        <w:tc>
          <w:tcPr>
            <w:tcW w:type="dxa" w:w="1996"/>
          </w:tcPr>
          <w:p>
            <w:r>
              <w:rPr>
                <w:rFonts w:ascii="Times New Roman" w:hAnsi="Times New Roman"/>
                <w:sz w:val="16"/>
              </w:rPr>
              <w:t>–</w:t>
            </w:r>
          </w:p>
        </w:tc>
        <w:tc>
          <w:tcPr>
            <w:tcW w:type="dxa" w:w="1996"/>
          </w:tcPr>
          <w:p>
            <w:r>
              <w:rPr>
                <w:rFonts w:ascii="Times New Roman" w:hAnsi="Times New Roman"/>
                <w:sz w:val="16"/>
              </w:rPr>
              <w:t>33</w:t>
            </w:r>
          </w:p>
        </w:tc>
      </w:tr>
      <w:tr>
        <w:tc>
          <w:tcPr>
            <w:tcW w:type="dxa" w:w="1996"/>
          </w:tcPr>
          <w:p>
            <w:r>
              <w:rPr>
                <w:rFonts w:ascii="Times New Roman" w:hAnsi="Times New Roman"/>
                <w:sz w:val="16"/>
              </w:rPr>
              <w:t>Paragraph split (ours)</w:t>
            </w:r>
          </w:p>
        </w:tc>
        <w:tc>
          <w:tcPr>
            <w:tcW w:type="dxa" w:w="1996"/>
          </w:tcPr>
          <w:p>
            <w:r>
              <w:rPr>
                <w:rFonts w:ascii="Times New Roman" w:hAnsi="Times New Roman"/>
                <w:sz w:val="16"/>
              </w:rPr>
              <w:t>0.9947</w:t>
            </w:r>
          </w:p>
        </w:tc>
        <w:tc>
          <w:tcPr>
            <w:tcW w:type="dxa" w:w="1996"/>
          </w:tcPr>
          <w:p>
            <w:r>
              <w:rPr>
                <w:rFonts w:ascii="Times New Roman" w:hAnsi="Times New Roman"/>
                <w:sz w:val="16"/>
              </w:rPr>
              <w:t>0.9724</w:t>
            </w:r>
          </w:p>
        </w:tc>
        <w:tc>
          <w:tcPr>
            <w:tcW w:type="dxa" w:w="1996"/>
          </w:tcPr>
          <w:p>
            <w:r>
              <w:rPr>
                <w:rFonts w:ascii="Times New Roman" w:hAnsi="Times New Roman"/>
                <w:sz w:val="16"/>
              </w:rPr>
              <w:t>99.9%</w:t>
            </w:r>
          </w:p>
        </w:tc>
        <w:tc>
          <w:tcPr>
            <w:tcW w:type="dxa" w:w="1996"/>
          </w:tcPr>
          <w:p>
            <w:r>
              <w:rPr>
                <w:rFonts w:ascii="Times New Roman" w:hAnsi="Times New Roman"/>
                <w:sz w:val="16"/>
              </w:rPr>
              <w:t>358</w:t>
            </w:r>
          </w:p>
        </w:tc>
      </w:tr>
      <w:tr>
        <w:tc>
          <w:tcPr>
            <w:tcW w:type="dxa" w:w="1996"/>
          </w:tcPr>
          <w:p>
            <w:r>
              <w:rPr>
                <w:rFonts w:ascii="Times New Roman" w:hAnsi="Times New Roman"/>
                <w:sz w:val="16"/>
              </w:rPr>
              <w:t>Fixed chunk</w:t>
            </w:r>
          </w:p>
        </w:tc>
        <w:tc>
          <w:tcPr>
            <w:tcW w:type="dxa" w:w="1996"/>
          </w:tcPr>
          <w:p>
            <w:r>
              <w:rPr>
                <w:rFonts w:ascii="Times New Roman" w:hAnsi="Times New Roman"/>
                <w:sz w:val="16"/>
              </w:rPr>
              <w:t>0.9933</w:t>
            </w:r>
          </w:p>
        </w:tc>
        <w:tc>
          <w:tcPr>
            <w:tcW w:type="dxa" w:w="1996"/>
          </w:tcPr>
          <w:p>
            <w:r>
              <w:rPr>
                <w:rFonts w:ascii="Times New Roman" w:hAnsi="Times New Roman"/>
                <w:sz w:val="16"/>
              </w:rPr>
              <w:t>0.9705</w:t>
            </w:r>
          </w:p>
        </w:tc>
        <w:tc>
          <w:tcPr>
            <w:tcW w:type="dxa" w:w="1996"/>
          </w:tcPr>
          <w:p>
            <w:r>
              <w:rPr>
                <w:rFonts w:ascii="Times New Roman" w:hAnsi="Times New Roman"/>
                <w:sz w:val="16"/>
              </w:rPr>
              <w:t>99.9%</w:t>
            </w:r>
          </w:p>
        </w:tc>
        <w:tc>
          <w:tcPr>
            <w:tcW w:type="dxa" w:w="1996"/>
          </w:tcPr>
          <w:p>
            <w:r>
              <w:rPr>
                <w:rFonts w:ascii="Times New Roman" w:hAnsi="Times New Roman"/>
                <w:sz w:val="16"/>
              </w:rPr>
              <w:t>300</w:t>
            </w:r>
          </w:p>
        </w:tc>
      </w:tr>
      <w:tr>
        <w:tc>
          <w:tcPr>
            <w:tcW w:type="dxa" w:w="1996"/>
          </w:tcPr>
          <w:p>
            <w:r>
              <w:rPr>
                <w:rFonts w:ascii="Times New Roman" w:hAnsi="Times New Roman"/>
                <w:sz w:val="16"/>
              </w:rPr>
              <w:t>Semantic split (section headers)</w:t>
            </w:r>
          </w:p>
        </w:tc>
        <w:tc>
          <w:tcPr>
            <w:tcW w:type="dxa" w:w="1996"/>
          </w:tcPr>
          <w:p>
            <w:r>
              <w:rPr>
                <w:rFonts w:ascii="Times New Roman" w:hAnsi="Times New Roman"/>
                <w:sz w:val="16"/>
              </w:rPr>
              <w:t>0.9746</w:t>
            </w:r>
          </w:p>
        </w:tc>
        <w:tc>
          <w:tcPr>
            <w:tcW w:type="dxa" w:w="1996"/>
          </w:tcPr>
          <w:p>
            <w:r>
              <w:rPr>
                <w:rFonts w:ascii="Times New Roman" w:hAnsi="Times New Roman"/>
                <w:sz w:val="16"/>
              </w:rPr>
              <w:t>0.9195</w:t>
            </w:r>
          </w:p>
        </w:tc>
        <w:tc>
          <w:tcPr>
            <w:tcW w:type="dxa" w:w="1996"/>
          </w:tcPr>
          <w:p>
            <w:r>
              <w:rPr>
                <w:rFonts w:ascii="Times New Roman" w:hAnsi="Times New Roman"/>
                <w:sz w:val="16"/>
              </w:rPr>
              <w:t>51.6%</w:t>
            </w:r>
          </w:p>
        </w:tc>
        <w:tc>
          <w:tcPr>
            <w:tcW w:type="dxa" w:w="1996"/>
          </w:tcPr>
          <w:p>
            <w:r>
              <w:rPr>
                <w:rFonts w:ascii="Times New Roman" w:hAnsi="Times New Roman"/>
                <w:sz w:val="16"/>
              </w:rPr>
              <w:t>49</w:t>
            </w:r>
          </w:p>
        </w:tc>
      </w:tr>
    </w:tbl>
    <w:p/>
    <w:p>
      <w:pPr>
        <w:spacing w:before="0" w:after="60" w:line="276" w:lineRule="auto"/>
      </w:pPr>
      <w:r>
        <w:rPr>
          <w:rFonts w:ascii="Times New Roman" w:hAnsi="Times New Roman"/>
          <w:b w:val="0"/>
          <w:sz w:val="18"/>
        </w:rPr>
        <w:t>Table 3 reveals several findings: (1) Paragraph segmentation achieves the best overall performance. (2) Fixed-chunk segmentation performs close to paragraph split but is slightly inferior, confirming that paragraph boundaries provide more meaningful semantic units than arbitrary character windows. (3) Semantic segmentation based on section header pattern matching (Introduction, Method, Results, etc.) actually degrades performance below standard BM25 (R@10 0.9746 vs. 0.9804), because only 51.6% of queries contain explicit section headers. This negative result is retained as a credibility-enhancing finding: simple rule-based semantic segmentation is not viable for this dataset.</w:t>
      </w:r>
    </w:p>
    <w:p>
      <w:pPr>
        <w:spacing w:before="0" w:after="60" w:line="276" w:lineRule="auto"/>
      </w:pPr>
      <w:r>
        <w:rPr>
          <w:rFonts w:ascii="Times New Roman" w:hAnsi="Times New Roman"/>
          <w:b/>
          <w:sz w:val="18"/>
        </w:rPr>
        <w:t>Table 4: Ablation study—speed optimization (200 queries)</w:t>
      </w:r>
    </w:p>
    <w:tbl>
      <w:tblPr>
        <w:tblStyle w:val="TableGrid"/>
        <w:tblW w:type="auto" w:w="0"/>
        <w:tblLook w:firstColumn="1" w:firstRow="1" w:lastColumn="0" w:lastRow="0" w:noHBand="0" w:noVBand="1" w:val="04A0"/>
      </w:tblPr>
      <w:tblGrid>
        <w:gridCol w:w="1996"/>
        <w:gridCol w:w="1996"/>
        <w:gridCol w:w="1996"/>
        <w:gridCol w:w="1996"/>
        <w:gridCol w:w="1996"/>
      </w:tblGrid>
      <w:tr>
        <w:tc>
          <w:tcPr>
            <w:tcW w:type="dxa" w:w="1996"/>
          </w:tcPr>
          <w:p>
            <w:r>
              <w:rPr>
                <w:rFonts w:ascii="Times New Roman" w:hAnsi="Times New Roman"/>
                <w:b/>
                <w:sz w:val="16"/>
              </w:rPr>
              <w:t>Configuration</w:t>
            </w:r>
          </w:p>
        </w:tc>
        <w:tc>
          <w:tcPr>
            <w:tcW w:type="dxa" w:w="1996"/>
          </w:tcPr>
          <w:p>
            <w:r>
              <w:rPr>
                <w:rFonts w:ascii="Times New Roman" w:hAnsi="Times New Roman"/>
                <w:b/>
                <w:sz w:val="16"/>
              </w:rPr>
              <w:t>R@10</w:t>
            </w:r>
          </w:p>
        </w:tc>
        <w:tc>
          <w:tcPr>
            <w:tcW w:type="dxa" w:w="1996"/>
          </w:tcPr>
          <w:p>
            <w:r>
              <w:rPr>
                <w:rFonts w:ascii="Times New Roman" w:hAnsi="Times New Roman"/>
                <w:b/>
                <w:sz w:val="16"/>
              </w:rPr>
              <w:t>nDCG@10</w:t>
            </w:r>
          </w:p>
        </w:tc>
        <w:tc>
          <w:tcPr>
            <w:tcW w:type="dxa" w:w="1996"/>
          </w:tcPr>
          <w:p>
            <w:r>
              <w:rPr>
                <w:rFonts w:ascii="Times New Roman" w:hAnsi="Times New Roman"/>
                <w:b/>
                <w:sz w:val="16"/>
              </w:rPr>
              <w:t>MRR</w:t>
            </w:r>
          </w:p>
        </w:tc>
        <w:tc>
          <w:tcPr>
            <w:tcW w:type="dxa" w:w="1996"/>
          </w:tcPr>
          <w:p>
            <w:r>
              <w:rPr>
                <w:rFonts w:ascii="Times New Roman" w:hAnsi="Times New Roman"/>
                <w:b/>
                <w:sz w:val="16"/>
              </w:rPr>
              <w:t>Time/chunk</w:t>
            </w:r>
          </w:p>
        </w:tc>
      </w:tr>
      <w:tr>
        <w:tc>
          <w:tcPr>
            <w:tcW w:type="dxa" w:w="1996"/>
          </w:tcPr>
          <w:p>
            <w:r>
              <w:rPr>
                <w:rFonts w:ascii="Times New Roman" w:hAnsi="Times New Roman"/>
                <w:sz w:val="16"/>
              </w:rPr>
              <w:t>(a) Standard BM25</w:t>
            </w:r>
          </w:p>
        </w:tc>
        <w:tc>
          <w:tcPr>
            <w:tcW w:type="dxa" w:w="1996"/>
          </w:tcPr>
          <w:p>
            <w:r>
              <w:rPr>
                <w:rFonts w:ascii="Times New Roman" w:hAnsi="Times New Roman"/>
                <w:sz w:val="16"/>
              </w:rPr>
              <w:t>0.900</w:t>
            </w:r>
          </w:p>
        </w:tc>
        <w:tc>
          <w:tcPr>
            <w:tcW w:type="dxa" w:w="1996"/>
          </w:tcPr>
          <w:p>
            <w:r>
              <w:rPr>
                <w:rFonts w:ascii="Times New Roman" w:hAnsi="Times New Roman"/>
                <w:sz w:val="16"/>
              </w:rPr>
              <w:t>0.805</w:t>
            </w:r>
          </w:p>
        </w:tc>
        <w:tc>
          <w:tcPr>
            <w:tcW w:type="dxa" w:w="1996"/>
          </w:tcPr>
          <w:p>
            <w:r>
              <w:rPr>
                <w:rFonts w:ascii="Times New Roman" w:hAnsi="Times New Roman"/>
                <w:sz w:val="16"/>
              </w:rPr>
              <w:t>0.775</w:t>
            </w:r>
          </w:p>
        </w:tc>
        <w:tc>
          <w:tcPr>
            <w:tcW w:type="dxa" w:w="1996"/>
          </w:tcPr>
          <w:p>
            <w:r>
              <w:rPr>
                <w:rFonts w:ascii="Times New Roman" w:hAnsi="Times New Roman"/>
                <w:sz w:val="16"/>
              </w:rPr>
              <w:t>~0.02s</w:t>
            </w:r>
          </w:p>
        </w:tc>
      </w:tr>
      <w:tr>
        <w:tc>
          <w:tcPr>
            <w:tcW w:type="dxa" w:w="1996"/>
          </w:tcPr>
          <w:p>
            <w:r>
              <w:rPr>
                <w:rFonts w:ascii="Times New Roman" w:hAnsi="Times New Roman"/>
                <w:sz w:val="16"/>
              </w:rPr>
              <w:t>(b) + segmentation (max_terms=50)</w:t>
            </w:r>
          </w:p>
        </w:tc>
        <w:tc>
          <w:tcPr>
            <w:tcW w:type="dxa" w:w="1996"/>
          </w:tcPr>
          <w:p>
            <w:r>
              <w:rPr>
                <w:rFonts w:ascii="Times New Roman" w:hAnsi="Times New Roman"/>
                <w:sz w:val="16"/>
              </w:rPr>
              <w:t>0.975</w:t>
            </w:r>
          </w:p>
        </w:tc>
        <w:tc>
          <w:tcPr>
            <w:tcW w:type="dxa" w:w="1996"/>
          </w:tcPr>
          <w:p>
            <w:r>
              <w:rPr>
                <w:rFonts w:ascii="Times New Roman" w:hAnsi="Times New Roman"/>
                <w:sz w:val="16"/>
              </w:rPr>
              <w:t>0.942</w:t>
            </w:r>
          </w:p>
        </w:tc>
        <w:tc>
          <w:tcPr>
            <w:tcW w:type="dxa" w:w="1996"/>
          </w:tcPr>
          <w:p>
            <w:r>
              <w:rPr>
                <w:rFonts w:ascii="Times New Roman" w:hAnsi="Times New Roman"/>
                <w:sz w:val="16"/>
              </w:rPr>
              <w:t>0.931</w:t>
            </w:r>
          </w:p>
        </w:tc>
        <w:tc>
          <w:tcPr>
            <w:tcW w:type="dxa" w:w="1996"/>
          </w:tcPr>
          <w:p>
            <w:r>
              <w:rPr>
                <w:rFonts w:ascii="Times New Roman" w:hAnsi="Times New Roman"/>
                <w:sz w:val="16"/>
              </w:rPr>
              <w:t>1.7–3.0s</w:t>
            </w:r>
          </w:p>
        </w:tc>
      </w:tr>
      <w:tr>
        <w:tc>
          <w:tcPr>
            <w:tcW w:type="dxa" w:w="1996"/>
          </w:tcPr>
          <w:p>
            <w:r>
              <w:rPr>
                <w:rFonts w:ascii="Times New Roman" w:hAnsi="Times New Roman"/>
                <w:sz w:val="16"/>
              </w:rPr>
              <w:t>(c) + max_df=5,000</w:t>
            </w:r>
          </w:p>
        </w:tc>
        <w:tc>
          <w:tcPr>
            <w:tcW w:type="dxa" w:w="1996"/>
          </w:tcPr>
          <w:p>
            <w:r>
              <w:rPr>
                <w:rFonts w:ascii="Times New Roman" w:hAnsi="Times New Roman"/>
                <w:sz w:val="16"/>
              </w:rPr>
              <w:t>0.973</w:t>
            </w:r>
          </w:p>
        </w:tc>
        <w:tc>
          <w:tcPr>
            <w:tcW w:type="dxa" w:w="1996"/>
          </w:tcPr>
          <w:p>
            <w:r>
              <w:rPr>
                <w:rFonts w:ascii="Times New Roman" w:hAnsi="Times New Roman"/>
                <w:sz w:val="16"/>
              </w:rPr>
              <w:t>0.940</w:t>
            </w:r>
          </w:p>
        </w:tc>
        <w:tc>
          <w:tcPr>
            <w:tcW w:type="dxa" w:w="1996"/>
          </w:tcPr>
          <w:p>
            <w:r>
              <w:rPr>
                <w:rFonts w:ascii="Times New Roman" w:hAnsi="Times New Roman"/>
                <w:sz w:val="16"/>
              </w:rPr>
              <w:t>0.929</w:t>
            </w:r>
          </w:p>
        </w:tc>
        <w:tc>
          <w:tcPr>
            <w:tcW w:type="dxa" w:w="1996"/>
          </w:tcPr>
          <w:p>
            <w:r>
              <w:rPr>
                <w:rFonts w:ascii="Times New Roman" w:hAnsi="Times New Roman"/>
                <w:sz w:val="16"/>
              </w:rPr>
              <w:t>~0.30s</w:t>
            </w:r>
          </w:p>
        </w:tc>
      </w:tr>
      <w:tr>
        <w:tc>
          <w:tcPr>
            <w:tcW w:type="dxa" w:w="1996"/>
          </w:tcPr>
          <w:p>
            <w:r>
              <w:rPr>
                <w:rFonts w:ascii="Times New Roman" w:hAnsi="Times New Roman"/>
                <w:sz w:val="16"/>
              </w:rPr>
              <w:t>(d) + max_terms=20 + heapq</w:t>
            </w:r>
          </w:p>
        </w:tc>
        <w:tc>
          <w:tcPr>
            <w:tcW w:type="dxa" w:w="1996"/>
          </w:tcPr>
          <w:p>
            <w:r>
              <w:rPr>
                <w:rFonts w:ascii="Times New Roman" w:hAnsi="Times New Roman"/>
                <w:sz w:val="16"/>
              </w:rPr>
              <w:t>0.975</w:t>
            </w:r>
          </w:p>
        </w:tc>
        <w:tc>
          <w:tcPr>
            <w:tcW w:type="dxa" w:w="1996"/>
          </w:tcPr>
          <w:p>
            <w:r>
              <w:rPr>
                <w:rFonts w:ascii="Times New Roman" w:hAnsi="Times New Roman"/>
                <w:sz w:val="16"/>
              </w:rPr>
              <w:t>0.942</w:t>
            </w:r>
          </w:p>
        </w:tc>
        <w:tc>
          <w:tcPr>
            <w:tcW w:type="dxa" w:w="1996"/>
          </w:tcPr>
          <w:p>
            <w:r>
              <w:rPr>
                <w:rFonts w:ascii="Times New Roman" w:hAnsi="Times New Roman"/>
                <w:sz w:val="16"/>
              </w:rPr>
              <w:t>0.931</w:t>
            </w:r>
          </w:p>
        </w:tc>
        <w:tc>
          <w:tcPr>
            <w:tcW w:type="dxa" w:w="1996"/>
          </w:tcPr>
          <w:p>
            <w:r>
              <w:rPr>
                <w:rFonts w:ascii="Times New Roman" w:hAnsi="Times New Roman"/>
                <w:sz w:val="16"/>
              </w:rPr>
              <w:t>~0.15s</w:t>
            </w:r>
          </w:p>
        </w:tc>
      </w:tr>
    </w:tbl>
    <w:p/>
    <w:p>
      <w:pPr>
        <w:spacing w:before="0" w:after="60" w:line="276" w:lineRule="auto"/>
      </w:pPr>
      <w:r>
        <w:rPr>
          <w:rFonts w:ascii="Times New Roman" w:hAnsi="Times New Roman"/>
          <w:b w:val="0"/>
          <w:sz w:val="18"/>
        </w:rPr>
        <w:t>The ablation study demonstrates that the three optimization strategies (max_df filtering, max_terms reduction, heapq top-K) together achieve an ~15–20× speedup with negligible accuracy loss (ΔR@10 = 0.002, within statistical noise).</w:t>
      </w:r>
    </w:p>
    <w:p>
      <w:pPr>
        <w:spacing w:before="0" w:after="60" w:line="276" w:lineRule="auto"/>
      </w:pPr>
      <w:r>
        <w:rPr>
          <w:rFonts w:ascii="Times New Roman" w:hAnsi="Times New Roman"/>
          <w:b/>
          <w:sz w:val="18"/>
        </w:rPr>
        <w:t>Table 5: Official PAN26 main test results (TIRA, accessed May 25, 2026)</w:t>
      </w:r>
    </w:p>
    <w:tbl>
      <w:tblPr>
        <w:tblStyle w:val="TableGrid"/>
        <w:tblW w:type="auto" w:w="0"/>
        <w:tblLook w:firstColumn="1" w:firstRow="1" w:lastColumn="0" w:lastRow="0" w:noHBand="0" w:noVBand="1" w:val="04A0"/>
      </w:tblPr>
      <w:tblGrid>
        <w:gridCol w:w="1663"/>
        <w:gridCol w:w="1663"/>
        <w:gridCol w:w="1663"/>
        <w:gridCol w:w="1663"/>
        <w:gridCol w:w="1663"/>
        <w:gridCol w:w="1663"/>
      </w:tblGrid>
      <w:tr>
        <w:tc>
          <w:tcPr>
            <w:tcW w:type="dxa" w:w="1663"/>
          </w:tcPr>
          <w:p>
            <w:r>
              <w:rPr>
                <w:rFonts w:ascii="Times New Roman" w:hAnsi="Times New Roman"/>
                <w:b/>
                <w:sz w:val="16"/>
              </w:rPr>
              <w:t>System</w:t>
            </w:r>
          </w:p>
        </w:tc>
        <w:tc>
          <w:tcPr>
            <w:tcW w:type="dxa" w:w="1663"/>
          </w:tcPr>
          <w:p>
            <w:r>
              <w:rPr>
                <w:rFonts w:ascii="Times New Roman" w:hAnsi="Times New Roman"/>
                <w:b/>
                <w:sz w:val="16"/>
              </w:rPr>
              <w:t>Recall@10</w:t>
            </w:r>
          </w:p>
        </w:tc>
        <w:tc>
          <w:tcPr>
            <w:tcW w:type="dxa" w:w="1663"/>
          </w:tcPr>
          <w:p>
            <w:r>
              <w:rPr>
                <w:rFonts w:ascii="Times New Roman" w:hAnsi="Times New Roman"/>
                <w:b/>
                <w:sz w:val="16"/>
              </w:rPr>
              <w:t>Recall@100</w:t>
            </w:r>
          </w:p>
        </w:tc>
        <w:tc>
          <w:tcPr>
            <w:tcW w:type="dxa" w:w="1663"/>
          </w:tcPr>
          <w:p>
            <w:r>
              <w:rPr>
                <w:rFonts w:ascii="Times New Roman" w:hAnsi="Times New Roman"/>
                <w:b/>
                <w:sz w:val="16"/>
              </w:rPr>
              <w:t>nDCG@10</w:t>
            </w:r>
          </w:p>
        </w:tc>
        <w:tc>
          <w:tcPr>
            <w:tcW w:type="dxa" w:w="1663"/>
          </w:tcPr>
          <w:p>
            <w:r>
              <w:rPr>
                <w:rFonts w:ascii="Times New Roman" w:hAnsi="Times New Roman"/>
                <w:b/>
                <w:sz w:val="16"/>
              </w:rPr>
              <w:t>nDCG@100</w:t>
            </w:r>
          </w:p>
        </w:tc>
        <w:tc>
          <w:tcPr>
            <w:tcW w:type="dxa" w:w="1663"/>
          </w:tcPr>
          <w:p>
            <w:r>
              <w:rPr>
                <w:rFonts w:ascii="Times New Roman" w:hAnsi="Times New Roman"/>
                <w:b/>
                <w:sz w:val="16"/>
              </w:rPr>
              <w:t>RR</w:t>
            </w:r>
          </w:p>
        </w:tc>
      </w:tr>
      <w:tr>
        <w:tc>
          <w:tcPr>
            <w:tcW w:type="dxa" w:w="1663"/>
          </w:tcPr>
          <w:p>
            <w:r>
              <w:rPr>
                <w:rFonts w:ascii="Times New Roman" w:hAnsi="Times New Roman"/>
                <w:sz w:val="16"/>
              </w:rPr>
              <w:t>BM25 baseline (official)</w:t>
            </w:r>
          </w:p>
        </w:tc>
        <w:tc>
          <w:tcPr>
            <w:tcW w:type="dxa" w:w="1663"/>
          </w:tcPr>
          <w:p>
            <w:r>
              <w:rPr>
                <w:rFonts w:ascii="Times New Roman" w:hAnsi="Times New Roman"/>
                <w:sz w:val="16"/>
              </w:rPr>
              <w:t>0.5767</w:t>
            </w:r>
          </w:p>
        </w:tc>
        <w:tc>
          <w:tcPr>
            <w:tcW w:type="dxa" w:w="1663"/>
          </w:tcPr>
          <w:p>
            <w:r>
              <w:rPr>
                <w:rFonts w:ascii="Times New Roman" w:hAnsi="Times New Roman"/>
                <w:sz w:val="16"/>
              </w:rPr>
              <w:t>0.7825</w:t>
            </w:r>
          </w:p>
        </w:tc>
        <w:tc>
          <w:tcPr>
            <w:tcW w:type="dxa" w:w="1663"/>
          </w:tcPr>
          <w:p>
            <w:r>
              <w:rPr>
                <w:rFonts w:ascii="Times New Roman" w:hAnsi="Times New Roman"/>
                <w:sz w:val="16"/>
              </w:rPr>
              <w:t>0.5532</w:t>
            </w:r>
          </w:p>
        </w:tc>
        <w:tc>
          <w:tcPr>
            <w:tcW w:type="dxa" w:w="1663"/>
          </w:tcPr>
          <w:p>
            <w:r>
              <w:rPr>
                <w:rFonts w:ascii="Times New Roman" w:hAnsi="Times New Roman"/>
                <w:sz w:val="16"/>
              </w:rPr>
              <w:t>0.6068</w:t>
            </w:r>
          </w:p>
        </w:tc>
        <w:tc>
          <w:tcPr>
            <w:tcW w:type="dxa" w:w="1663"/>
          </w:tcPr>
          <w:p>
            <w:r>
              <w:rPr>
                <w:rFonts w:ascii="Times New Roman" w:hAnsi="Times New Roman"/>
                <w:sz w:val="16"/>
              </w:rPr>
              <w:t>0.8318</w:t>
            </w:r>
          </w:p>
        </w:tc>
      </w:tr>
      <w:tr>
        <w:tc>
          <w:tcPr>
            <w:tcW w:type="dxa" w:w="1663"/>
          </w:tcPr>
          <w:p>
            <w:r>
              <w:rPr>
                <w:rFonts w:ascii="Times New Roman" w:hAnsi="Times New Roman"/>
                <w:sz w:val="16"/>
              </w:rPr>
              <w:t>fosuai / oscillating-list (ours)</w:t>
            </w:r>
          </w:p>
        </w:tc>
        <w:tc>
          <w:tcPr>
            <w:tcW w:type="dxa" w:w="1663"/>
          </w:tcPr>
          <w:p>
            <w:r>
              <w:rPr>
                <w:rFonts w:ascii="Times New Roman" w:hAnsi="Times New Roman"/>
                <w:sz w:val="16"/>
              </w:rPr>
              <w:t>0.6300</w:t>
            </w:r>
          </w:p>
        </w:tc>
        <w:tc>
          <w:tcPr>
            <w:tcW w:type="dxa" w:w="1663"/>
          </w:tcPr>
          <w:p>
            <w:r>
              <w:rPr>
                <w:rFonts w:ascii="Times New Roman" w:hAnsi="Times New Roman"/>
                <w:sz w:val="16"/>
              </w:rPr>
              <w:t>0.6300</w:t>
            </w:r>
          </w:p>
        </w:tc>
        <w:tc>
          <w:tcPr>
            <w:tcW w:type="dxa" w:w="1663"/>
          </w:tcPr>
          <w:p>
            <w:r>
              <w:rPr>
                <w:rFonts w:ascii="Times New Roman" w:hAnsi="Times New Roman"/>
                <w:sz w:val="16"/>
              </w:rPr>
              <w:t>0.6263</w:t>
            </w:r>
          </w:p>
        </w:tc>
        <w:tc>
          <w:tcPr>
            <w:tcW w:type="dxa" w:w="1663"/>
          </w:tcPr>
          <w:p>
            <w:r>
              <w:rPr>
                <w:rFonts w:ascii="Times New Roman" w:hAnsi="Times New Roman"/>
                <w:sz w:val="16"/>
              </w:rPr>
              <w:t>0.6263</w:t>
            </w:r>
          </w:p>
        </w:tc>
        <w:tc>
          <w:tcPr>
            <w:tcW w:type="dxa" w:w="1663"/>
          </w:tcPr>
          <w:p>
            <w:r>
              <w:rPr>
                <w:rFonts w:ascii="Times New Roman" w:hAnsi="Times New Roman"/>
                <w:sz w:val="16"/>
              </w:rPr>
              <w:t>0.9350</w:t>
            </w:r>
          </w:p>
        </w:tc>
      </w:tr>
      <w:tr>
        <w:tc>
          <w:tcPr>
            <w:tcW w:type="dxa" w:w="1663"/>
          </w:tcPr>
          <w:p>
            <w:r>
              <w:rPr>
                <w:rFonts w:ascii="Times New Roman" w:hAnsi="Times New Roman"/>
                <w:sz w:val="16"/>
              </w:rPr>
              <w:t>JLP / jlp (best system)</w:t>
            </w:r>
          </w:p>
        </w:tc>
        <w:tc>
          <w:tcPr>
            <w:tcW w:type="dxa" w:w="1663"/>
          </w:tcPr>
          <w:p>
            <w:r>
              <w:rPr>
                <w:rFonts w:ascii="Times New Roman" w:hAnsi="Times New Roman"/>
                <w:sz w:val="16"/>
              </w:rPr>
              <w:t>0.8542</w:t>
            </w:r>
          </w:p>
        </w:tc>
        <w:tc>
          <w:tcPr>
            <w:tcW w:type="dxa" w:w="1663"/>
          </w:tcPr>
          <w:p>
            <w:r>
              <w:rPr>
                <w:rFonts w:ascii="Times New Roman" w:hAnsi="Times New Roman"/>
                <w:sz w:val="16"/>
              </w:rPr>
              <w:t>0.9629</w:t>
            </w:r>
          </w:p>
        </w:tc>
        <w:tc>
          <w:tcPr>
            <w:tcW w:type="dxa" w:w="1663"/>
          </w:tcPr>
          <w:p>
            <w:r>
              <w:rPr>
                <w:rFonts w:ascii="Times New Roman" w:hAnsi="Times New Roman"/>
                <w:sz w:val="16"/>
              </w:rPr>
              <w:t>0.7994</w:t>
            </w:r>
          </w:p>
        </w:tc>
        <w:tc>
          <w:tcPr>
            <w:tcW w:type="dxa" w:w="1663"/>
          </w:tcPr>
          <w:p>
            <w:r>
              <w:rPr>
                <w:rFonts w:ascii="Times New Roman" w:hAnsi="Times New Roman"/>
                <w:sz w:val="16"/>
              </w:rPr>
              <w:t>0.8326</w:t>
            </w:r>
          </w:p>
        </w:tc>
        <w:tc>
          <w:tcPr>
            <w:tcW w:type="dxa" w:w="1663"/>
          </w:tcPr>
          <w:p>
            <w:r>
              <w:rPr>
                <w:rFonts w:ascii="Times New Roman" w:hAnsi="Times New Roman"/>
                <w:sz w:val="16"/>
              </w:rPr>
              <w:t>0.9760</w:t>
            </w:r>
          </w:p>
        </w:tc>
      </w:tr>
    </w:tbl>
    <w:p/>
    <w:p>
      <w:pPr>
        <w:spacing w:before="0" w:after="60" w:line="276" w:lineRule="auto"/>
      </w:pPr>
      <w:r>
        <w:rPr>
          <w:rFonts w:ascii="Times New Roman" w:hAnsi="Times New Roman"/>
          <w:b w:val="0"/>
          <w:sz w:val="18"/>
        </w:rPr>
        <w:t>On the official main test, our system achieves RR=0.9350 (ranked 3rd), demonstrating strong early-rank performance consistent with the design goal of coverage-weighted voting. Recall@10 and nDCG@10 both improve over the BM25 baseline (+9.2% and +13.2% respectively). However, Recall@100 equals Recall@10 (0.6300) because the submitted run file contained only top-10 documents per query rather than the expected top-1,000. This is an engineering limitation to be corrected in future submissions. The gap between development-set R@10 (~0.97–0.99) and test-set R@10 (0.63) reflects differences in corpus size, domain, and plagiarism type distribution, underscoring that cross-dataset generalization remains the core challenge of this task.</w:t>
      </w:r>
    </w:p>
    <w:p>
      <w:pPr>
        <w:spacing w:before="160"/>
      </w:pPr>
      <w:r>
        <w:rPr>
          <w:rFonts w:ascii="Times New Roman" w:hAnsi="Times New Roman"/>
          <w:b/>
          <w:sz w:val="22"/>
        </w:rPr>
        <w:t>5  Conclusions</w:t>
      </w:r>
    </w:p>
    <w:p>
      <w:pPr>
        <w:spacing w:before="0" w:after="60" w:line="276" w:lineRule="auto"/>
      </w:pPr>
      <w:r>
        <w:rPr>
          <w:rFonts w:ascii="Times New Roman" w:hAnsi="Times New Roman"/>
          <w:b w:val="0"/>
          <w:sz w:val="18"/>
        </w:rPr>
        <w:t>We presented Query-Chunk Provenance Modeling, a lightweight (numpy-only) source retrieval method for PAN26 generative plagiarism detection. The method decomposes suspicious documents into paragraph-level segments, independently retrieves sources per segment via BM25, and aggregates results through coverage-weighted voting to construct an explicit provenance graph. On development data, our method consistently outperforms standard BM25. On the official PAN26 main test, our system (fosuai / oscillating-list) achieved RR=0.9350 (3rd by RR). The submitted run's top-10 output limit constrained Recall@100; future work should output top-1000 and explore topic-based or embedding-based segmentation strategies for improved semantic coherence. PAN26 official secondary dataset results are pending.</w:t>
      </w:r>
    </w:p>
    <w:p>
      <w:pPr>
        <w:spacing w:before="160"/>
      </w:pPr>
      <w:r>
        <w:rPr>
          <w:rFonts w:ascii="Times New Roman" w:hAnsi="Times New Roman"/>
          <w:b/>
          <w:sz w:val="22"/>
        </w:rPr>
        <w:t>Acknowledgments</w:t>
      </w:r>
    </w:p>
    <w:p>
      <w:pPr>
        <w:spacing w:before="0" w:after="60" w:line="276" w:lineRule="auto"/>
      </w:pPr>
      <w:r>
        <w:rPr>
          <w:rFonts w:ascii="Times New Roman" w:hAnsi="Times New Roman"/>
          <w:b w:val="0"/>
          <w:sz w:val="18"/>
        </w:rPr>
        <w:t>This work is supported by the National Social Science Foundation of China (24BYY080). We thank the PAN@CLEF 2026 organizers for providing the evaluation dataset and the TIRA platform.</w:t>
      </w:r>
    </w:p>
    <w:p>
      <w:pPr>
        <w:spacing w:before="160"/>
      </w:pPr>
      <w:r>
        <w:rPr>
          <w:rFonts w:ascii="Times New Roman" w:hAnsi="Times New Roman"/>
          <w:b/>
          <w:sz w:val="22"/>
        </w:rPr>
        <w:t>References</w:t>
      </w:r>
    </w:p>
    <w:p>
      <w:pPr>
        <w:spacing w:line="252" w:lineRule="auto"/>
      </w:pPr>
      <w:r>
        <w:rPr>
          <w:rFonts w:ascii="Times New Roman" w:hAnsi="Times New Roman"/>
          <w:sz w:val="16"/>
        </w:rPr>
        <w:t>[1] Greiner-Petter A, Fröbe M, Wahle J P, et al. Overview of the Plagiarism Detection Task at PAN 2025. In: CLEF 2025 Working Notes, CEUR-WS Vol. 4038, 2025, pp. 3575–3585.</w:t>
      </w:r>
    </w:p>
    <w:p>
      <w:pPr>
        <w:spacing w:line="252" w:lineRule="auto"/>
      </w:pPr>
      <w:r>
        <w:rPr>
          <w:rFonts w:ascii="Times New Roman" w:hAnsi="Times New Roman"/>
          <w:sz w:val="16"/>
        </w:rPr>
        <w:t>[2] Bevendorff J, Dementieva D, Fröbe M, et al. Overview of PAN 2025: Generative AI Detection, Multilingual Text Detoxification, Multi-author Writing Style Analysis, and Generative Plagiarism Detection. In: ECIR 2025, Springer LNCS Vol. 15576, 2025, pp. 434–441.</w:t>
      </w:r>
    </w:p>
    <w:p>
      <w:pPr>
        <w:spacing w:line="252" w:lineRule="auto"/>
      </w:pPr>
      <w:r>
        <w:rPr>
          <w:rFonts w:ascii="Times New Roman" w:hAnsi="Times New Roman"/>
          <w:sz w:val="16"/>
        </w:rPr>
        <w:t>[3] Potthast M, Hagen M, Beyer A, Busse M, Tippmann M, Rosso P, Stein B. Overview of the 6th International Competition on Plagiarism Detection. In: CLEF 2014 Working Notes, CEUR-WS Vol. 1180, 2014, pp. 845–876.</w:t>
      </w:r>
    </w:p>
    <w:p>
      <w:pPr>
        <w:spacing w:line="252" w:lineRule="auto"/>
      </w:pPr>
      <w:r>
        <w:rPr>
          <w:rFonts w:ascii="Times New Roman" w:hAnsi="Times New Roman"/>
          <w:sz w:val="16"/>
        </w:rPr>
        <w:t>[4] Robertson S, Zaragoza H. The Probabilistic Relevance Framework: BM25 and Beyond. Foundations and Trends in Information Retrieval, 2009, 3(4): 333–389.</w:t>
      </w:r>
    </w:p>
    <w:p>
      <w:pPr>
        <w:spacing w:line="252" w:lineRule="auto"/>
      </w:pPr>
      <w:r>
        <w:rPr>
          <w:rFonts w:ascii="Times New Roman" w:hAnsi="Times New Roman"/>
          <w:sz w:val="16"/>
        </w:rPr>
        <w:t>[5] Reimers N, Gurevych I. Sentence-BERT: Sentence Embeddings using Siamese BERT-Networks. In: EMNLP-IJCNLP 2019, ACL, 2019, pp. 3982–3992.</w:t>
      </w:r>
    </w:p>
    <w:p>
      <w:pPr>
        <w:spacing w:line="252" w:lineRule="auto"/>
      </w:pPr>
      <w:r>
        <w:rPr>
          <w:rFonts w:ascii="Times New Roman" w:hAnsi="Times New Roman"/>
          <w:sz w:val="16"/>
        </w:rPr>
        <w:t>[6] Wang L, Yang N, Huang X, Jiao B, Yang L, Jiang D, Majumder R, Wei F. Text Embeddings by Weakly-Supervised Contrastive Pre-training. arXiv:2212.03533, 2022.</w:t>
      </w:r>
    </w:p>
    <w:p>
      <w:pPr>
        <w:spacing w:line="252" w:lineRule="auto"/>
      </w:pPr>
      <w:r>
        <w:rPr>
          <w:rFonts w:ascii="Times New Roman" w:hAnsi="Times New Roman"/>
          <w:sz w:val="16"/>
        </w:rPr>
        <w:t>[7] Karpukhin V, Oguz B, Min S, Lewis P, Wu L, Edunov S, Chen D, Yih W. Dense Passage Retrieval for Open-Domain Question Answering. In: EMNLP 2020, ACL, 2020, pp. 6769–6781.</w:t>
      </w:r>
    </w:p>
    <w:p>
      <w:pPr>
        <w:spacing w:line="252" w:lineRule="auto"/>
      </w:pPr>
      <w:r>
        <w:rPr>
          <w:rFonts w:ascii="Times New Roman" w:hAnsi="Times New Roman"/>
          <w:sz w:val="16"/>
        </w:rPr>
        <w:t>[8] Min S, Zhong V, Zettlemoyer L, Hajishirzi H. Multi-hop Reading Comprehension through Question Decomposition and Rescoring. In: ACL 2019, ACL, 2019, pp. 6097–6109.</w:t>
      </w:r>
    </w:p>
    <w:p>
      <w:pPr>
        <w:spacing w:line="252" w:lineRule="auto"/>
      </w:pPr>
      <w:r>
        <w:rPr>
          <w:rFonts w:ascii="Times New Roman" w:hAnsi="Times New Roman"/>
          <w:sz w:val="16"/>
        </w:rPr>
        <w:t>[9] Fröbe M, Reimer J H, MacAvaney S, Deckers N, Reich S, Bevendorff J, Stein B, Hagen M, Potthast M. The Information Retrieval Experiment Platform (TIRA). In: SIGIR 2023, ACM, 2023, pp. 3180–3190.</w:t>
      </w:r>
    </w:p>
    <w:p>
      <w:pPr>
        <w:spacing w:line="252" w:lineRule="auto"/>
      </w:pPr>
      <w:r>
        <w:rPr>
          <w:rFonts w:ascii="Times New Roman" w:hAnsi="Times New Roman"/>
          <w:sz w:val="16"/>
        </w:rPr>
        <w:t>[10] Cormack G V, Clarke C L A, Buettcher S. Reciprocal Rank Fusion Outperforms Condorcet and Individual Rank Learning Methods. In: SIGIR 2009, ACM, 2009, pp. 758–759.</w:t>
      </w:r>
    </w:p>
    <w:p>
      <w:pPr>
        <w:spacing w:line="252" w:lineRule="auto"/>
      </w:pPr>
      <w:r>
        <w:rPr>
          <w:rFonts w:ascii="Times New Roman" w:hAnsi="Times New Roman"/>
          <w:sz w:val="16"/>
        </w:rPr>
        <w:t>[11] Nogueira R, Cho K. Passage Re-ranking with BERT. arXiv:1901.04085, 2019.</w:t>
      </w:r>
    </w:p>
    <w:p>
      <w:pPr>
        <w:spacing w:before="160"/>
      </w:pPr>
      <w:r>
        <w:rPr>
          <w:rFonts w:ascii="Times New Roman" w:hAnsi="Times New Roman"/>
          <w:b/>
          <w:sz w:val="22"/>
        </w:rPr>
        <w:t>Declaration on Generative AI</w:t>
      </w:r>
    </w:p>
    <w:p>
      <w:pPr>
        <w:spacing w:before="0" w:after="60" w:line="276" w:lineRule="auto"/>
      </w:pPr>
      <w:r>
        <w:rPr>
          <w:rFonts w:ascii="Times New Roman" w:hAnsi="Times New Roman"/>
          <w:b w:val="0"/>
          <w:sz w:val="18"/>
        </w:rPr>
        <w:t>During the preparation of this work, the author(s) used Claude Code in order to: English abstract translation, reference format verification against DBLP and Google Scholar, and English language proofreading. After using this tool/service, the author(s) reviewed and edited the content as needed and take(s) full responsibility for the publication's content.</w:t>
      </w:r>
    </w:p>
    <w:sectPr w:rsidR="00FC693F" w:rsidRPr="0006063C" w:rsidSect="00034616">
      <w:pgSz w:w="11906" w:h="16838"/>
      <w:pgMar w:top="1134" w:right="964" w:bottom="113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