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开发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[7]设立源检索子任务以来，参与者提出了多种方法。基于词法匹配的方法[3,8]通过词n-gram重叠、指纹（fingerprinting）或BM25等词频统计模型进行检索，在逐字抄袭和轻度改写场景下表现优异。基于语义匹配的方法则利用Sentence-BERT[9]、E5[10]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[11]。在开放域问答中，Karpukhin等人[11]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decomposition）技术[12]从相反的角度出发，将复杂查询拆分为子查询分别检索再合并结果，但主要面向多跳问答和比较类查询场景，应用于抄袭检测时需要对分段策略进行专门设计。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[13]和多阶段级联精排[14]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标准BM25[8]将整篇可疑文档q作为一个完整查询，基于倒排索引（inverted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图1展示了本文方法的整体架构。如图所示，系统包含三个核心处理阶段，分别对应3.3.1-3.3.3节详述的算法组件。第一阶段（Paragraph Segmentation）：将输入的可疑文档按段落边界拆分为n个语义连贯的查询段(C₁, C₂, ..., C_n)；第二阶段（Independent Segment Retrieval）：每个查询段Cᵢ独立执行带性能优化的BM25检索，生成各自的候选源文档排序列表；第三阶段（Coverage-Weighted Source Voting）：对各段的Top-50候选列表进行覆盖率加权投票聚合，输出最终的源文档排序。图中以虚线框标注了本文的两个核心创新模块：段落分段模块解决了"多源信号稀释"问题，覆盖率加权投票模块实现了显式的溯源图构建。两个模块的设计细节参见3.3.1节和3.3.3节。</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Chunking[10-11]——使用E5-base-v2对源文档进行256-token切块编码，对BM25盲区查询以块级余弦相似度进行稠密语义补盲，采用Coverage-aware打分（0.5×top1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开发集训练部分上的各方法性能对比（42,444条查询）</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R@10</w:t>
            </w:r>
          </w:p>
        </w:tc>
        <w:tc>
          <w:tcPr>
            <w:tcW w:type="dxa" w:w="1383"/>
          </w:tcPr>
          <w:p>
            <w:r>
              <w:t>R@100</w:t>
            </w:r>
          </w:p>
        </w:tc>
        <w:tc>
          <w:tcPr>
            <w:tcW w:type="dxa" w:w="1383"/>
          </w:tcPr>
          <w:p>
            <w:r>
              <w:t>nDCG@10</w:t>
            </w:r>
          </w:p>
        </w:tc>
        <w:tc>
          <w:tcPr>
            <w:tcW w:type="dxa" w:w="1383"/>
          </w:tcPr>
          <w:p>
            <w:r>
              <w:t>MRR</w:t>
            </w:r>
          </w:p>
        </w:tc>
        <w:tc>
          <w:tcPr>
            <w:tcW w:type="dxa" w:w="1383"/>
          </w:tcPr>
          <w:p>
            <w:r>
              <w:t>模型依赖</w:t>
            </w:r>
          </w:p>
        </w:tc>
      </w:tr>
      <w:tr>
        <w:tc>
          <w:tcPr>
            <w:tcW w:type="dxa" w:w="1383"/>
          </w:tcPr>
          <w:p>
            <w:r>
              <w:t>标准BM25</w:t>
            </w:r>
          </w:p>
        </w:tc>
        <w:tc>
          <w:tcPr>
            <w:tcW w:type="dxa" w:w="1383"/>
          </w:tcPr>
          <w:p>
            <w:r>
              <w:t>0.9196</w:t>
            </w:r>
          </w:p>
        </w:tc>
        <w:tc>
          <w:tcPr>
            <w:tcW w:type="dxa" w:w="1383"/>
          </w:tcPr>
          <w:p>
            <w:r>
              <w:t>0.9769</w:t>
            </w:r>
          </w:p>
        </w:tc>
        <w:tc>
          <w:tcPr>
            <w:tcW w:type="dxa" w:w="1383"/>
          </w:tcPr>
          <w:p>
            <w:r>
              <w:t>0.8184</w:t>
            </w:r>
          </w:p>
        </w:tc>
        <w:tc>
          <w:tcPr>
            <w:tcW w:type="dxa" w:w="1383"/>
          </w:tcPr>
          <w:p>
            <w:r>
              <w:t>0.7856</w:t>
            </w:r>
          </w:p>
        </w:tc>
        <w:tc>
          <w:tcPr>
            <w:tcW w:type="dxa" w:w="1383"/>
          </w:tcPr>
          <w:p>
            <w:r>
              <w:t>无（仅numpy）</w:t>
            </w:r>
          </w:p>
        </w:tc>
      </w:tr>
      <w:tr>
        <w:tc>
          <w:tcPr>
            <w:tcW w:type="dxa" w:w="1383"/>
          </w:tcPr>
          <w:p>
            <w:r>
              <w:t>标准BM25 + Query Decomp</w:t>
            </w:r>
          </w:p>
        </w:tc>
        <w:tc>
          <w:tcPr>
            <w:tcW w:type="dxa" w:w="1383"/>
          </w:tcPr>
          <w:p>
            <w:r>
              <w:t>0.9317</w:t>
            </w:r>
          </w:p>
        </w:tc>
        <w:tc>
          <w:tcPr>
            <w:tcW w:type="dxa" w:w="1383"/>
          </w:tcPr>
          <w:p>
            <w:r>
              <w:t>0.9890</w:t>
            </w:r>
          </w:p>
        </w:tc>
        <w:tc>
          <w:tcPr>
            <w:tcW w:type="dxa" w:w="1383"/>
          </w:tcPr>
          <w:p>
            <w:r>
              <w:t>0.8274</w:t>
            </w:r>
          </w:p>
        </w:tc>
        <w:tc>
          <w:tcPr>
            <w:tcW w:type="dxa" w:w="1383"/>
          </w:tcPr>
          <w:p>
            <w:r>
              <w:t>0.7937</w:t>
            </w:r>
          </w:p>
        </w:tc>
        <w:tc>
          <w:tcPr>
            <w:tcW w:type="dxa" w:w="1383"/>
          </w:tcPr>
          <w:p>
            <w:r>
              <w:t>无（仅numpy）</w:t>
            </w:r>
          </w:p>
        </w:tc>
      </w:tr>
      <w:tr>
        <w:tc>
          <w:tcPr>
            <w:tcW w:type="dxa" w:w="1383"/>
          </w:tcPr>
          <w:p>
            <w:r>
              <w:t>BM25 + E5 Chunking</w:t>
            </w:r>
          </w:p>
        </w:tc>
        <w:tc>
          <w:tcPr>
            <w:tcW w:type="dxa" w:w="1383"/>
          </w:tcPr>
          <w:p>
            <w:r>
              <w:t>0.9830</w:t>
            </w:r>
          </w:p>
        </w:tc>
        <w:tc>
          <w:tcPr>
            <w:tcW w:type="dxa" w:w="1383"/>
          </w:tcPr>
          <w:p>
            <w:r>
              <w:t>0.9917</w:t>
            </w:r>
          </w:p>
        </w:tc>
        <w:tc>
          <w:tcPr>
            <w:tcW w:type="dxa" w:w="1383"/>
          </w:tcPr>
          <w:p>
            <w:r>
              <w:t>0.8716</w:t>
            </w:r>
          </w:p>
        </w:tc>
        <w:tc>
          <w:tcPr>
            <w:tcW w:type="dxa" w:w="1383"/>
          </w:tcPr>
          <w:p>
            <w:r>
              <w:t>0.8355</w:t>
            </w:r>
          </w:p>
        </w:tc>
        <w:tc>
          <w:tcPr>
            <w:tcW w:type="dxa" w:w="1383"/>
          </w:tcPr>
          <w:p>
            <w:r>
              <w:t>E5-base-v2 (440MB)</w:t>
            </w:r>
          </w:p>
        </w:tc>
      </w:tr>
      <w:tr>
        <w:tc>
          <w:tcPr>
            <w:tcW w:type="dxa" w:w="1383"/>
          </w:tcPr>
          <w:p>
            <w:r>
              <w:t>分段BM25（本文方法）</w:t>
            </w:r>
          </w:p>
        </w:tc>
        <w:tc>
          <w:tcPr>
            <w:tcW w:type="dxa" w:w="1383"/>
          </w:tcPr>
          <w:p>
            <w:r>
              <w:t>0.9700*</w:t>
            </w:r>
          </w:p>
        </w:tc>
        <w:tc>
          <w:tcPr>
            <w:tcW w:type="dxa" w:w="1383"/>
          </w:tcPr>
          <w:p>
            <w:r>
              <w:t>0.9912*</w:t>
            </w:r>
          </w:p>
        </w:tc>
        <w:tc>
          <w:tcPr>
            <w:tcW w:type="dxa" w:w="1383"/>
          </w:tcPr>
          <w:p>
            <w:r>
              <w:t>0.9242*</w:t>
            </w:r>
          </w:p>
        </w:tc>
        <w:tc>
          <w:tcPr>
            <w:tcW w:type="dxa" w:w="1383"/>
          </w:tcPr>
          <w:p>
            <w:r>
              <w:t>0.9092*</w:t>
            </w:r>
          </w:p>
        </w:tc>
        <w:tc>
          <w:tcPr>
            <w:tcW w:type="dxa" w:w="1383"/>
          </w:tcPr>
          <w:p>
            <w:r>
              <w:t>无（仅numpy）</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Pro单机），目前仅完成了800条和1,200条随机采样查询的完整验证。标*数据为800条查询上的结果，在全量数据上的精确指标待Linux服务器上完成全量运行后更新。Query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0.9698</w:t>
            </w:r>
          </w:p>
        </w:tc>
        <w:tc>
          <w:tcPr>
            <w:tcW w:type="dxa" w:w="1660"/>
          </w:tcPr>
          <w:p>
            <w:r>
              <w:t>0.9944</w:t>
            </w:r>
          </w:p>
        </w:tc>
        <w:tc>
          <w:tcPr>
            <w:tcW w:type="dxa" w:w="1660"/>
          </w:tcPr>
          <w:p>
            <w:r>
              <w:t>+0.0246</w:t>
            </w:r>
          </w:p>
        </w:tc>
        <w:tc>
          <w:tcPr>
            <w:tcW w:type="dxa" w:w="1660"/>
          </w:tcPr>
          <w:p>
            <w:r>
              <w:t>+2.5%</w:t>
            </w:r>
          </w:p>
        </w:tc>
      </w:tr>
      <w:tr>
        <w:tc>
          <w:tcPr>
            <w:tcW w:type="dxa" w:w="1660"/>
          </w:tcPr>
          <w:p>
            <w:r>
              <w:t>R@100</w:t>
            </w:r>
          </w:p>
        </w:tc>
        <w:tc>
          <w:tcPr>
            <w:tcW w:type="dxa" w:w="1660"/>
          </w:tcPr>
          <w:p>
            <w:r>
              <w:t>0.9866</w:t>
            </w:r>
          </w:p>
        </w:tc>
        <w:tc>
          <w:tcPr>
            <w:tcW w:type="dxa" w:w="1660"/>
          </w:tcPr>
          <w:p>
            <w:r>
              <w:t>0.9986</w:t>
            </w:r>
          </w:p>
        </w:tc>
        <w:tc>
          <w:tcPr>
            <w:tcW w:type="dxa" w:w="1660"/>
          </w:tcPr>
          <w:p>
            <w:r>
              <w:t>+0.0120</w:t>
            </w:r>
          </w:p>
        </w:tc>
        <w:tc>
          <w:tcPr>
            <w:tcW w:type="dxa" w:w="1660"/>
          </w:tcPr>
          <w:p>
            <w:r>
              <w:t>+1.2%</w:t>
            </w:r>
          </w:p>
        </w:tc>
      </w:tr>
      <w:tr>
        <w:tc>
          <w:tcPr>
            <w:tcW w:type="dxa" w:w="1660"/>
          </w:tcPr>
          <w:p>
            <w:r>
              <w:t>nDCG@10</w:t>
            </w:r>
          </w:p>
        </w:tc>
        <w:tc>
          <w:tcPr>
            <w:tcW w:type="dxa" w:w="1660"/>
          </w:tcPr>
          <w:p>
            <w:r>
              <w:t>0.9193</w:t>
            </w:r>
          </w:p>
        </w:tc>
        <w:tc>
          <w:tcPr>
            <w:tcW w:type="dxa" w:w="1660"/>
          </w:tcPr>
          <w:p>
            <w:r>
              <w:t>0.9764</w:t>
            </w:r>
          </w:p>
        </w:tc>
        <w:tc>
          <w:tcPr>
            <w:tcW w:type="dxa" w:w="1660"/>
          </w:tcPr>
          <w:p>
            <w:r>
              <w:t>+0.0571</w:t>
            </w:r>
          </w:p>
        </w:tc>
        <w:tc>
          <w:tcPr>
            <w:tcW w:type="dxa" w:w="1660"/>
          </w:tcPr>
          <w:p>
            <w:r>
              <w:t>+6.2%</w:t>
            </w:r>
          </w:p>
        </w:tc>
      </w:tr>
      <w:tr>
        <w:tc>
          <w:tcPr>
            <w:tcW w:type="dxa" w:w="1660"/>
          </w:tcPr>
          <w:p>
            <w:r>
              <w:t>MRR</w:t>
            </w:r>
          </w:p>
        </w:tc>
        <w:tc>
          <w:tcPr>
            <w:tcW w:type="dxa" w:w="1660"/>
          </w:tcPr>
          <w:p>
            <w:r>
              <w:t>0.9026</w:t>
            </w:r>
          </w:p>
        </w:tc>
        <w:tc>
          <w:tcPr>
            <w:tcW w:type="dxa" w:w="1660"/>
          </w:tcPr>
          <w:p>
            <w:r>
              <w:t>0.9704</w:t>
            </w:r>
          </w:p>
        </w:tc>
        <w:tc>
          <w:tcPr>
            <w:tcW w:type="dxa" w:w="1660"/>
          </w:tcPr>
          <w:p>
            <w:r>
              <w:t>+0.0679</w:t>
            </w:r>
          </w:p>
        </w:tc>
        <w:tc>
          <w:tcPr>
            <w:tcW w:type="dxa" w:w="1660"/>
          </w:tcPr>
          <w:p>
            <w:r>
              <w:t>+7.5%</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表4报告了在预留验证集（holdout）上的独立评估结果。该验证集包含7,949篇源文档和5,522条查询，与训练集（60,592篇文档）完全独立。值得说明的是，holdout的文档规模远小于训练集（8K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接近饱和。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表5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26评测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Gollub T, Hagen M, et al. Overview of the 6th International Competition on Plagiarism Detection[C]//Working Notes of CLEF 2014. CEUR Workshop Proceedings, Vol. 1180, 2014: 975-997.</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(TIRA)[J]. ACM SIGIR Forum, 2023, 57(2): 1-10.</w:t>
      </w:r>
    </w:p>
    <w:p>
      <w:pPr>
        <w:spacing w:before="0" w:after="20" w:line="300" w:lineRule="auto"/>
      </w:pPr>
      <w:r>
        <w:rPr>
          <w:rFonts w:ascii="宋体" w:hAnsi="宋体" w:eastAsia="宋体"/>
          <w:b w:val="0"/>
          <w:sz w:val="18"/>
        </w:rPr>
        <w:t>[7] Potthast M, Hagen M, Beyer A, et al. Overview of the 6th International Competition on Plagiarism Detection[C]//CLEF 2014 Evaluation Labs and Workshop, Working Notes. CEUR-WS, 2014.</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