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黑体" w:hAnsi="黑体" w:eastAsia="黑体"/>
          <w:b/>
          <w:sz w:val="32"/>
        </w:rPr>
        <w:t>面向生成式抄袭检测的查询分段溯源建模方法</w:t>
      </w:r>
    </w:p>
    <w:p>
      <w:pPr>
        <w:spacing w:after="160"/>
        <w:jc w:val="center"/>
      </w:pPr>
      <w:r>
        <w:rPr>
          <w:rFonts w:ascii="Times New Roman" w:hAnsi="Times New Roman"/>
          <w:i/>
          <w:sz w:val="24"/>
        </w:rPr>
        <w:t>Query-Chunk Provenance Modeling for Source Retrieval</w:t>
        <w:br/>
        <w:t>in Generative Plagiarism Detection</w:t>
      </w:r>
    </w:p>
    <w:p>
      <w:pPr>
        <w:spacing w:after="20"/>
        <w:jc w:val="center"/>
      </w:pPr>
      <w:r>
        <w:rPr>
          <w:rFonts w:ascii="宋体" w:hAnsi="宋体" w:eastAsia="宋体"/>
          <w:b/>
          <w:sz w:val="24"/>
        </w:rPr>
        <w:t>王 毅¹  韩中元¹(通讯作者)</w:t>
      </w:r>
    </w:p>
    <w:p>
      <w:pPr>
        <w:spacing w:after="20"/>
        <w:jc w:val="center"/>
      </w:pPr>
      <w:r>
        <w:rPr>
          <w:rFonts w:ascii="宋体" w:hAnsi="宋体" w:eastAsia="宋体"/>
          <w:b w:val="0"/>
          <w:sz w:val="18"/>
        </w:rPr>
        <w:t>1. 佛山大学 计算机与人工智能学院, 广东佛山 528000</w:t>
      </w:r>
    </w:p>
    <w:p>
      <w:pPr>
        <w:spacing w:after="20"/>
        <w:jc w:val="center"/>
      </w:pPr>
      <w:r>
        <w:rPr>
          <w:rFonts w:ascii="宋体" w:hAnsi="宋体" w:eastAsia="宋体"/>
          <w:b w:val="0"/>
          <w:sz w:val="18"/>
        </w:rPr>
        <w:t>E-mail: wangyi0187@icloud.com</w:t>
      </w:r>
    </w:p>
    <w:p>
      <w:pPr>
        <w:pStyle w:val="Heading1"/>
      </w:pPr>
      <w:r>
        <w:rPr>
          <w:rFonts w:ascii="黑体" w:hAnsi="黑体" w:eastAsia="黑体"/>
        </w:rPr>
        <w:t>摘  要</w:t>
      </w:r>
    </w:p>
    <w:p>
      <w:pPr>
        <w:spacing w:before="0" w:after="60" w:line="300" w:lineRule="auto"/>
        <w:ind w:firstLine="420"/>
      </w:pPr>
      <w:r>
        <w:rPr>
          <w:rFonts w:ascii="宋体" w:hAnsi="宋体" w:eastAsia="宋体"/>
          <w:b w:val="0"/>
          <w:sz w:val="21"/>
        </w:rPr>
        <w:t>生成式抄袭检测的核心挑战在于：大语言模型生成的可疑文本通常融合了多个不同来源的内容片段，将整篇可疑文档作为单一查询的传统检索范式会导致多源溯源信号被稀释。针对这一问题，本文提出了一种基于查询分段溯源建模（Query-Chunk Provenance Modeling）的源检索方法。该方法首先将可疑文档按段落结构拆分为若干语义连贯的查询段（query chunk），每个查询段独立执行BM25检索，获得各自的候选源文档排序列表；然后通过覆盖率加权投票（coverage-weighted voting）机制聚合各段结果，构建显式的溯源图（provenance graph）。本文进一步提出了一套针对分段检索的性能优化策略，包括最大文档频率阈值过滤（max_df）、查询词数量限制以及基于堆排序的高效Top-K提取，将分段检索速度提升约20倍。在开发数据的800条和1,200条查询样本上，该方法在所有评价指标上均显著优于标准BM25基线：R@10分别达到0.970和0.969（基线为0.920和0.883），MRR分别达到0.909和0.909（基线为0.777和0.753），相对提升幅度为17%至21%。该方法仅依赖numpy和Python标准库，无需GPU或预训练语言模型，已成功部署为TIRA评测平台的Docker提交。</w:t>
      </w:r>
    </w:p>
    <w:p>
      <w:pPr>
        <w:ind w:firstLine="420"/>
      </w:pPr>
      <w:r>
        <w:rPr>
          <w:rFonts w:ascii="宋体" w:hAnsi="宋体" w:eastAsia="宋体"/>
          <w:b/>
          <w:sz w:val="21"/>
        </w:rPr>
        <w:t>关键词：</w:t>
      </w:r>
      <w:r>
        <w:rPr>
          <w:rFonts w:ascii="宋体" w:hAnsi="宋体" w:eastAsia="宋体"/>
          <w:sz w:val="21"/>
        </w:rPr>
        <w:t>生成式抄袭检测；源检索；查询分段；溯源建模；BM25；覆盖率投票；段落切分</w:t>
      </w:r>
    </w:p>
    <w:p>
      <w:pPr>
        <w:pStyle w:val="Heading1"/>
      </w:pPr>
      <w:r>
        <w:rPr>
          <w:rFonts w:ascii="黑体" w:hAnsi="黑体" w:eastAsia="黑体"/>
        </w:rPr>
        <w:t>Abstract</w:t>
      </w:r>
    </w:p>
    <w:p>
      <w:pPr>
        <w:spacing w:before="0" w:after="60" w:line="300" w:lineRule="auto"/>
        <w:ind w:firstLine="420"/>
      </w:pPr>
      <w:r>
        <w:rPr>
          <w:rFonts w:ascii="宋体" w:hAnsi="宋体" w:eastAsia="宋体"/>
          <w:b w:val="0"/>
          <w:sz w:val="21"/>
        </w:rPr>
        <w:t>Generative plagiarism detection faces a fundamental challenge: suspicious texts generated by LLMs often synthesize content from multiple distinct sources. The traditional document-level querying paradigm, which treats the entire suspicious document as a single query, dilutes the multi-source provenance signal. We propose a Query-Chunk Provenance Modeling approach to address this limitation. The suspicious document is first decomposed into paragraph-level semantic segments (query chunks). Each segment independently retrieves candidate sources via BM25, producing its own ranked list. A coverage-weighted voting mechanism then aggregates the segment-level results, rewarding documents consistently matched by multiple independent segments and constructing an explicit provenance graph that maps each part of the suspicious document to its likely source. We further introduce performance optimizations for segment-level retrieval, including maximum document frequency thresholding, query term limitation, and heap-based top-K extraction, achieving a 20x speedup. Experiments on 800 and 1,200 query samples from the development data show consistent improvements over standard BM25 across all four evaluation metrics: R@10 reaches 0.970 (baseline: 0.920) and MRR reaches 0.909 (baseline: 0.777), representing relative gains of 17-21%. The method is lightweight — requiring only numpy and the Python standard library — and has been successfully deployed as a Docker submission to TIRA.</w:t>
      </w:r>
    </w:p>
    <w:p>
      <w:pPr>
        <w:ind w:firstLine="420"/>
      </w:pPr>
      <w:r>
        <w:rPr>
          <w:rFonts w:ascii="Times New Roman" w:hAnsi="Times New Roman"/>
          <w:b/>
          <w:sz w:val="21"/>
        </w:rPr>
        <w:t xml:space="preserve">Keywords: </w:t>
      </w:r>
      <w:r>
        <w:rPr>
          <w:rFonts w:ascii="Times New Roman" w:hAnsi="Times New Roman"/>
          <w:sz w:val="21"/>
        </w:rPr>
        <w:t>Generative Plagiarism Detection; Source Retrieval; Query Segmentation; Provenance Modeling; BM25; Coverage-Weighted Voting; Paragraph Chunking</w:t>
      </w:r>
    </w:p>
    <w:p>
      <w:pPr>
        <w:pStyle w:val="Heading1"/>
      </w:pPr>
      <w:r>
        <w:rPr>
          <w:rFonts w:ascii="黑体" w:hAnsi="黑体" w:eastAsia="黑体"/>
        </w:rPr>
        <w:t>1 引言（Introduction）</w:t>
      </w:r>
    </w:p>
    <w:p>
      <w:pPr>
        <w:spacing w:before="0" w:after="60" w:line="300" w:lineRule="auto"/>
        <w:ind w:firstLine="420"/>
      </w:pPr>
      <w:r>
        <w:rPr>
          <w:rFonts w:ascii="宋体" w:hAnsi="宋体" w:eastAsia="宋体"/>
          <w:b w:val="0"/>
          <w:sz w:val="21"/>
        </w:rPr>
        <w:t>随着大语言模型（Large Language Models, LLMs）的快速发展与普及，利用LLM自动生成学术文本并进行多源融合式抄袭已成为学术界面临的新型学术不端挑战[1-2]。传统的抄袭检测主要关注逐字拷贝（copy-paste plagiarism）和近义改写（paraphrase plagiarism），但LLM生成的抄袭文本可能同时融合、重组并改写自数十个来源文档——可疑文档的引言可能来自来源A，方法论来自来源B，结果分析来自来源C。这种"多源合成式"的抄袭形态对现有的源检索系统提出了全新要求。</w:t>
      </w:r>
    </w:p>
    <w:p>
      <w:pPr>
        <w:spacing w:before="0" w:after="60" w:line="300" w:lineRule="auto"/>
        <w:ind w:firstLine="420"/>
      </w:pPr>
      <w:r>
        <w:rPr>
          <w:rFonts w:ascii="宋体" w:hAnsi="宋体" w:eastAsia="宋体"/>
          <w:b w:val="0"/>
          <w:sz w:val="21"/>
        </w:rPr>
        <w:t>PAN@CLEF 2026评测任务[1]中的生成式抄袭检测（Generative Plagiarism Detection, Task 4）正是针对上述挑战而设立。该任务分为两个阶段：（1）源检索（Source Retrieval）——给定一篇可疑文档，从包含数万篇候选源文档的语料库中检索其可能来源的文档集合；（2）文本对齐（Text Alignment）——在可疑文档与源文档之间进行字符级抄袭段落定位。本文聚焦于第一阶段的源检索任务，该阶段是整个检测流水线的基础，其召回率直接影响后续对齐阶段的性能上限。</w:t>
      </w:r>
    </w:p>
    <w:p>
      <w:pPr>
        <w:spacing w:before="0" w:after="60" w:line="300" w:lineRule="auto"/>
        <w:ind w:firstLine="420"/>
      </w:pPr>
      <w:r>
        <w:rPr>
          <w:rFonts w:ascii="宋体" w:hAnsi="宋体" w:eastAsia="宋体"/>
          <w:b w:val="0"/>
          <w:sz w:val="21"/>
        </w:rPr>
        <w:t>现有源检索方法普遍采用"文档级查询"（document-level querying）范式：将整篇可疑文档作为一个完整的查询，输入基于词法匹配（如BM25）或语义匹配（如E5、SPECTER等稠密检索模型）的检索系统，计算可疑文档与每个候选源文档之间的单一相关性得分。这一范式在处理单源抄袭（可疑文档整体来自某一个来源）时表现良好，但在多源合成场景下存在根本性局限：查询信号是多个"来源指纹"的噪声混合，检索模型需要同时匹配多种不同的来源特征，导致任一来源的匹配信号都被其他来源的噪声所稀释。已有研究[3-5]表明，简单的语义相似度方法在该任务上存在显著的泛化性不足问题。</w:t>
      </w:r>
    </w:p>
    <w:p>
      <w:pPr>
        <w:spacing w:before="0" w:after="60" w:line="300" w:lineRule="auto"/>
        <w:ind w:firstLine="420"/>
      </w:pPr>
      <w:r>
        <w:rPr>
          <w:rFonts w:ascii="宋体" w:hAnsi="宋体" w:eastAsia="宋体"/>
          <w:b w:val="0"/>
          <w:sz w:val="21"/>
        </w:rPr>
        <w:t>针对上述多源信号稀释问题，本文提出了一种基于查询分段溯源建模（Query-Chunk Provenance Modeling）的源检索方法。核心创新在于：不再将可疑文档视为一个整体查询，而是将其按段落结构显式拆分为若干语义连贯的查询段（query chunks），每个查询段独立检索候选来源，再通过覆盖率加权投票机制聚合各段结果，重建"可疑文档各部分分别来自哪里"的溯源图（provenance graph）。该方法的核心假设是：被多个独立查询段同时命中的源文档，更有可能是全局的真实来源，而非偶发的局部匹配。</w:t>
      </w:r>
    </w:p>
    <w:p>
      <w:pPr>
        <w:spacing w:before="0" w:after="60" w:line="300" w:lineRule="auto"/>
        <w:ind w:firstLine="420"/>
      </w:pPr>
      <w:r>
        <w:rPr>
          <w:rFonts w:ascii="宋体" w:hAnsi="宋体" w:eastAsia="宋体"/>
          <w:b w:val="0"/>
          <w:sz w:val="21"/>
        </w:rPr>
        <w:t>本文的主要贡献包括：（1）提出了一种显式建模多源抄袭溯源结构的轻量化检索方法，无需GPU或预训练语言模型；（2）设计了一套针对分段BM25检索的性能优化策略，将分段检索速度提升约20倍；（3）在两个独立采样验证集上进行了严格验证，证明了方法的有效性和稳定性；（4）已成功将方法部署为TIRA评测平台[6]的Docker提交。</w:t>
      </w:r>
    </w:p>
    <w:p>
      <w:pPr>
        <w:pStyle w:val="Heading1"/>
      </w:pPr>
      <w:r>
        <w:rPr>
          <w:rFonts w:ascii="黑体" w:hAnsi="黑体" w:eastAsia="黑体"/>
        </w:rPr>
        <w:t>2 相关工作（Related Work）</w:t>
      </w:r>
    </w:p>
    <w:p>
      <w:pPr>
        <w:pStyle w:val="Heading2"/>
      </w:pPr>
      <w:r>
        <w:rPr>
          <w:rFonts w:ascii="黑体" w:hAnsi="黑体" w:eastAsia="黑体"/>
        </w:rPr>
        <w:t>2.1 抄袭检测中的源检索</w:t>
      </w:r>
    </w:p>
    <w:p>
      <w:pPr>
        <w:spacing w:before="0" w:after="60" w:line="300" w:lineRule="auto"/>
        <w:ind w:firstLine="420"/>
      </w:pPr>
      <w:r>
        <w:rPr>
          <w:rFonts w:ascii="宋体" w:hAnsi="宋体" w:eastAsia="宋体"/>
          <w:b w:val="0"/>
          <w:sz w:val="21"/>
        </w:rPr>
        <w:t>源检索是抄袭检测流水线的第一步，其任务是从大规模候选语料库中快速定位可疑文档的潜在来源。自PAN 2014评测[7]设立源检索子任务以来，参与者提出了多种方法。基于词法匹配的方法[3,8]通过词n-gram重叠、指纹（fingerprinting）或BM25等词频统计模型进行检索，在逐字抄袭和轻度改写场景下表现优异。基于语义匹配的方法则利用Sentence-BERT[9]、E5[10]等句子编码器将文本映射到稠密向量空间，通过余弦相似度进行语义级匹配，对改写程度较高的抄袭具有更好的泛化能力。然而，PAN 2025评测报告[1]指出，所有参与团队的方法在跨域泛化（PAN 2015数据集）上均显著下降，说明当前方法对领域偏移的鲁棒性不足。与上述工作不同，本文的方法聚焦于查询侧的结构化建模，从"如何提问"的角度改进检索效果。</w:t>
      </w:r>
    </w:p>
    <w:p>
      <w:pPr>
        <w:pStyle w:val="Heading2"/>
      </w:pPr>
      <w:r>
        <w:rPr>
          <w:rFonts w:ascii="黑体" w:hAnsi="黑体" w:eastAsia="黑体"/>
        </w:rPr>
        <w:t>2.2 文档切分与多查询检索</w:t>
      </w:r>
    </w:p>
    <w:p>
      <w:pPr>
        <w:spacing w:before="0" w:after="60" w:line="300" w:lineRule="auto"/>
        <w:ind w:firstLine="420"/>
      </w:pPr>
      <w:r>
        <w:rPr>
          <w:rFonts w:ascii="宋体" w:hAnsi="宋体" w:eastAsia="宋体"/>
          <w:b w:val="0"/>
          <w:sz w:val="21"/>
        </w:rPr>
        <w:t>对于长文档检索，将文档切分为固定大小的文本块（chunks）分别处理后聚合是常见的做法[11]。在开放域问答中，Karpukhin等人[11]提出的稠密段落检索（DPR）将文档切分为段落级单元进行独立编码与检索，通过最大池化或早期融合聚合结果。然而，该类方法将切分操作应用于文档侧（document side），查询侧仍保持为单一体。这种"文档切分、查询不切分"的策略在查询本身为复合体时无法充分利用切分的优势。查询分解（query decomposition）技术[12]从相反的角度出发，将复杂查询拆分为子查询分别检索再合并结果，但主要面向多跳问答和比较类查询场景，应用于抄袭检测时需要对分段策略进行专门设计。</w:t>
      </w:r>
    </w:p>
    <w:p>
      <w:pPr>
        <w:pStyle w:val="Heading2"/>
      </w:pPr>
      <w:r>
        <w:rPr>
          <w:rFonts w:ascii="黑体" w:hAnsi="黑体" w:eastAsia="黑体"/>
        </w:rPr>
        <w:t>2.3 检索重排序与结果融合</w:t>
      </w:r>
    </w:p>
    <w:p>
      <w:pPr>
        <w:spacing w:before="0" w:after="60" w:line="300" w:lineRule="auto"/>
        <w:ind w:firstLine="420"/>
      </w:pPr>
      <w:r>
        <w:rPr>
          <w:rFonts w:ascii="宋体" w:hAnsi="宋体" w:eastAsia="宋体"/>
          <w:b w:val="0"/>
          <w:sz w:val="21"/>
        </w:rPr>
        <w:t>在检索结果融合方面，互惠排名融合（Reciprocal Rank Fusion, RRF）[13]和多阶段级联精排[14]等方法被广泛应用于多路检索结果的合并。然而，这些方法假设各路检索系统接收的是相同的查询输入，仅通过不同的模型或参数产生多样化结果。本文的方法与之有本质区别：各路检索系统接收的是不同的查询输入（查询的不同段落），因此融合策略需要从"多模型融合"转变为"多查询协同"，即对各段结果进行联合推理以重建溯源图。</w:t>
      </w:r>
    </w:p>
    <w:p>
      <w:pPr>
        <w:pStyle w:val="Heading1"/>
      </w:pPr>
      <w:r>
        <w:rPr>
          <w:rFonts w:ascii="黑体" w:hAnsi="黑体" w:eastAsia="黑体"/>
        </w:rPr>
        <w:t>3 方法（Method）</w:t>
      </w:r>
    </w:p>
    <w:p>
      <w:pPr>
        <w:pStyle w:val="Heading2"/>
      </w:pPr>
      <w:r>
        <w:rPr>
          <w:rFonts w:ascii="黑体" w:hAnsi="黑体" w:eastAsia="黑体"/>
        </w:rPr>
        <w:t>3.1 任务形式化定义</w:t>
      </w:r>
    </w:p>
    <w:p>
      <w:pPr>
        <w:spacing w:before="0" w:after="60" w:line="300" w:lineRule="auto"/>
        <w:ind w:firstLine="420"/>
      </w:pPr>
      <w:r>
        <w:rPr>
          <w:rFonts w:ascii="宋体" w:hAnsi="宋体" w:eastAsia="宋体"/>
          <w:b w:val="0"/>
          <w:sz w:val="21"/>
        </w:rPr>
        <w:t>给定源文档语料库C = {d₁, d₂, ..., d_N}（N = 60,592篇学术文档）和一个可疑文档集合Q。对于每个可疑文档q ∈ Q，源检索任务的目标是从C中检索出一个排序文档列表R(q) = [d_{r₁}, d_{r₂}, ..., d_{r_K}]，使得与q存在真实抄袭关系的源文档d*(q)尽可能排在列表前列。值得注意的是，在生成式抄袭场景中，一个可疑文档q可能与多个源文档存在抄袭关系（多源合成），但评测时每个查询仅关联一个主要来源文档（由qrels标注的ground-truth）。检索质量通过R@K、nDCG@K和MRR等标准信息检索指标衡量。</w:t>
      </w:r>
    </w:p>
    <w:p>
      <w:pPr>
        <w:pStyle w:val="Heading2"/>
      </w:pPr>
      <w:r>
        <w:rPr>
          <w:rFonts w:ascii="黑体" w:hAnsi="黑体" w:eastAsia="黑体"/>
        </w:rPr>
        <w:t>3.2 基线方法：标准BM25检索</w:t>
      </w:r>
    </w:p>
    <w:p>
      <w:pPr>
        <w:spacing w:before="0" w:after="60" w:line="300" w:lineRule="auto"/>
        <w:ind w:firstLine="420"/>
      </w:pPr>
      <w:r>
        <w:rPr>
          <w:rFonts w:ascii="宋体" w:hAnsi="宋体" w:eastAsia="宋体"/>
          <w:b w:val="0"/>
          <w:sz w:val="21"/>
        </w:rPr>
        <w:t>标准BM25[8]将整篇可疑文档q作为一个完整查询，基于倒排索引（inverted index）进行检索。给定查询q，首先提取其所有词元（tokens），选取逆文档频率（IDF）最高的m个查询词（本文取m=100），遍历每个选中词元的发布列表（posting list），为每个包含查询词的候选文档累加BM25得分。最终返回得分最高的K个文档作为检索结果。BM25的核心公式为：</w:t>
      </w:r>
    </w:p>
    <w:p>
      <w:pPr>
        <w:spacing w:before="0" w:after="60" w:line="300" w:lineRule="auto"/>
      </w:pPr>
      <w:r>
        <w:rPr>
          <w:rFonts w:ascii="宋体" w:hAnsi="宋体" w:eastAsia="宋体"/>
          <w:b w:val="0"/>
          <w:sz w:val="20"/>
        </w:rPr>
        <w:t>Score_BM25(d|q) = Σ_{t∈q} IDF(t) · tf(t,d) · (k₁+1) / (tf(t,d) + k₁ · (1-b + b · |d|/avgdl))</w:t>
      </w:r>
    </w:p>
    <w:p>
      <w:pPr>
        <w:spacing w:before="0" w:after="60" w:line="300" w:lineRule="auto"/>
        <w:ind w:firstLine="420"/>
      </w:pPr>
      <w:r>
        <w:rPr>
          <w:rFonts w:ascii="宋体" w:hAnsi="宋体" w:eastAsia="宋体"/>
          <w:b w:val="0"/>
          <w:sz w:val="21"/>
        </w:rPr>
        <w:t>其中tf(t,d)为词元t在文档d中的词频，|d|为文档长度，avgdl为语料库平均文档长度，k₁=1.2和b=0.75为BM25的自由参数。</w:t>
      </w:r>
    </w:p>
    <w:p>
      <w:pPr>
        <w:pStyle w:val="Heading2"/>
      </w:pPr>
      <w:r>
        <w:rPr>
          <w:rFonts w:ascii="黑体" w:hAnsi="黑体" w:eastAsia="黑体"/>
        </w:rPr>
        <w:t>3.3 本文方法：查询分段溯源建模</w:t>
      </w:r>
    </w:p>
    <w:p>
      <w:pPr>
        <w:spacing w:before="0" w:after="60" w:line="300" w:lineRule="auto"/>
        <w:ind w:firstLine="420"/>
      </w:pPr>
      <w:r>
        <w:rPr>
          <w:rFonts w:ascii="宋体" w:hAnsi="宋体" w:eastAsia="宋体"/>
          <w:b w:val="0"/>
          <w:sz w:val="21"/>
        </w:rPr>
        <w:t>本文提出的查询分段溯源建模方法由三个核心组件构成：（1）段落级查询分段（Paragraph-Level Query Segmentation）；（2）独立分段检索（Independent Segment Retrieval）；（3）覆盖率加权源投票（Coverage-Weighted Source Voting）。方法总体流程如图1所示。</w:t>
      </w:r>
    </w:p>
    <w:p>
      <w:pPr>
        <w:spacing w:before="0" w:after="60" w:line="300" w:lineRule="auto"/>
        <w:ind w:firstLine="420"/>
      </w:pPr>
      <w:r>
        <w:rPr>
          <w:rFonts w:ascii="宋体" w:hAnsi="宋体" w:eastAsia="宋体"/>
          <w:b w:val="0"/>
          <w:sz w:val="18"/>
        </w:rPr>
        <w:t>图1展示了本文方法的整体架构。如图所示，系统包含三个核心处理阶段，分别对应3.3.1-3.3.3节详述的算法组件。第一阶段（Paragraph Segmentation）：将输入的可疑文档按段落边界拆分为n个语义连贯的查询段(C₁, C₂, ..., C_n)；第二阶段（Independent Segment Retrieval）：每个查询段Cᵢ独立执行带性能优化的BM25检索，生成各自的候选源文档排序列表；第三阶段（Coverage-Weighted Source Voting）：对各段的Top-50候选列表进行覆盖率加权投票聚合，输出最终的源文档排序。图中以虚线框标注了本文的两个核心创新模块：段落分段模块解决了"多源信号稀释"问题，覆盖率加权投票模块实现了显式的溯源图构建。两个模块的设计细节参见3.3.1节和3.3.3节。</w:t>
      </w:r>
    </w:p>
    <w:p>
      <w:pPr>
        <w:pStyle w:val="Heading3"/>
      </w:pPr>
      <w:r>
        <w:rPr>
          <w:rFonts w:ascii="宋体" w:hAnsi="宋体" w:eastAsia="宋体"/>
        </w:rPr>
        <w:t>3.3.1 段落级查询分段</w:t>
      </w:r>
    </w:p>
    <w:p>
      <w:pPr>
        <w:spacing w:before="0" w:after="60" w:line="300" w:lineRule="auto"/>
        <w:ind w:firstLine="420"/>
      </w:pPr>
      <w:r>
        <w:rPr>
          <w:rFonts w:ascii="宋体" w:hAnsi="宋体" w:eastAsia="宋体"/>
          <w:b w:val="0"/>
          <w:sz w:val="21"/>
        </w:rPr>
        <w:t>给定可疑文档q，段落级查询分段的目标是将其拆分为一组语义连贯的文本块{c₁, c₂, ..., c_n}，每个文本块代表文档的一个相对独立的语义单元（如引言中的某个论点段落、方法论中的某个实验描述段落等）。具体算法如下：</w:t>
      </w:r>
    </w:p>
    <w:p>
      <w:pPr>
        <w:spacing w:before="0" w:after="60" w:line="300" w:lineRule="auto"/>
        <w:ind w:firstLine="420"/>
      </w:pPr>
      <w:r>
        <w:rPr>
          <w:rFonts w:ascii="宋体" w:hAnsi="宋体" w:eastAsia="宋体"/>
          <w:b w:val="0"/>
          <w:sz w:val="20"/>
        </w:rPr>
        <w:t>步骤1：按双换行符将q拆分为原始段落集合P = {p₁, p₂, ..., p_m}，丢弃空白段落。步骤2：初始化空缓冲区buf和结果列表chunks。步骤3：依次遍历每个段落p ∈ P，若len(buf) + len(p) &gt; max_chars（3,000字符）且len(buf) &gt; min_chars（800字符），则将buf的当前内容作为一个独立查询段输出，并重置buf = p；否则将p追加到buf中（以双换行符连接）。步骤4：遍历结束后，若buf长度超过min_chars（800字符），将其作为最后一个查询段输出。步骤5：若最终chunks为空（文本过短或缺乏段落结构），返回整个文本的前max_chars字符作为单个查询段。步骤6：截断至最多20个查询段（防止极端长文本导致过多分段）。</w:t>
      </w:r>
    </w:p>
    <w:p>
      <w:pPr>
        <w:spacing w:before="0" w:after="60" w:line="300" w:lineRule="auto"/>
        <w:ind w:firstLine="420"/>
      </w:pPr>
      <w:r>
        <w:rPr>
          <w:rFonts w:ascii="宋体" w:hAnsi="宋体" w:eastAsia="宋体"/>
          <w:b w:val="0"/>
          <w:sz w:val="21"/>
        </w:rPr>
        <w:t>该策略产生的查询段大致对应学术文档的章节结构：一个3,000字符的查询段通常包含2-3个密切相关的段落，具有较好的主题连贯性。丢弃过短段落的目的是避免仅含少量功能词或过渡句的碎片段参与检索，因为这类段落的BM25检索效果极差（缺乏足够的信息量来提供有效的查询词）。</w:t>
      </w:r>
    </w:p>
    <w:p>
      <w:pPr>
        <w:pStyle w:val="Heading3"/>
      </w:pPr>
      <w:r>
        <w:rPr>
          <w:rFonts w:ascii="宋体" w:hAnsi="宋体" w:eastAsia="宋体"/>
        </w:rPr>
        <w:t>3.3.2 独立分段检索</w:t>
      </w:r>
    </w:p>
    <w:p>
      <w:pPr>
        <w:spacing w:before="0" w:after="60" w:line="300" w:lineRule="auto"/>
        <w:ind w:firstLine="420"/>
      </w:pPr>
      <w:r>
        <w:rPr>
          <w:rFonts w:ascii="宋体" w:hAnsi="宋体" w:eastAsia="宋体"/>
          <w:b w:val="0"/>
          <w:sz w:val="21"/>
        </w:rPr>
        <w:t>每个查询段cᵢ独立执行BM25检索，获得其top-50候选源文档列表。与标准BM25检索（3.2节）相比，分段检索采用以下不同的参数配置：（1）查询词数量上限从100降至20（max_terms=20），因为3,000字符的文本段所含的独特判别词数量远少于完整文档；（2）启用最大文档频率阈值过滤（max_df=5,000），即丢弃出现在超过5,000篇文档（约占语料库的8%）中的高频查询词——这些词虽然出现频繁但其文档级区分度极低，遍历其长达数万条目的发布列表将严重拖慢检索速度而几乎不贡献有效的打分信号。</w:t>
      </w:r>
    </w:p>
    <w:p>
      <w:pPr>
        <w:spacing w:before="0" w:after="60" w:line="300" w:lineRule="auto"/>
        <w:ind w:firstLine="420"/>
      </w:pPr>
      <w:r>
        <w:rPr>
          <w:rFonts w:ascii="宋体" w:hAnsi="宋体" w:eastAsia="宋体"/>
          <w:b w:val="0"/>
          <w:sz w:val="21"/>
        </w:rPr>
        <w:t>在性能层面，标准BM25的检索速度约为每查询0.02秒，但将相同的BM25算法直接应用于查询段（3,000字符、约150-250个独特词元）时，单段检索耗时可达1.7-3.0秒——比标准检索慢85-150倍。经分析，造成这一显著差异的根本原因在于词元IDF分布的极端差异：完整文档包含大量罕见专业术语（高IDF，短发布列表），而查询段中占主导的是常见的学术功能词汇（低IDF，长发布列表）。以max_terms=50为例，分段检索选中的50个查询词的平均发布列表长度可达完整查询的10-50倍，导致单段遍历数百万发布列表条目。本文采用的三重优化策略（max_df过滤 + max_terms缩减 + heapq.nlargest替代全排序）将单段检索耗时降至约0.15秒，实现了约20倍的速度提升。</w:t>
      </w:r>
    </w:p>
    <w:p>
      <w:pPr>
        <w:pStyle w:val="Heading3"/>
      </w:pPr>
      <w:r>
        <w:rPr>
          <w:rFonts w:ascii="宋体" w:hAnsi="宋体" w:eastAsia="宋体"/>
        </w:rPr>
        <w:t>3.3.3 覆盖率加权源投票</w:t>
      </w:r>
    </w:p>
    <w:p>
      <w:pPr>
        <w:spacing w:before="0" w:after="60" w:line="300" w:lineRule="auto"/>
        <w:ind w:firstLine="420"/>
      </w:pPr>
      <w:r>
        <w:rPr>
          <w:rFonts w:ascii="宋体" w:hAnsi="宋体" w:eastAsia="宋体"/>
          <w:b w:val="0"/>
          <w:sz w:val="21"/>
        </w:rPr>
        <w:t>将n个查询段独立检索获得的候选源文档列表聚合为最终排序。对于每个候选源文档d，定义其覆盖率为被多少查询段检索到：count(d) = |{cᵢ : d ∈ Top-50(cᵢ), i = 1, ..., n}|。</w:t>
      </w:r>
    </w:p>
    <w:p>
      <w:pPr>
        <w:spacing w:before="0" w:after="60" w:line="300" w:lineRule="auto"/>
        <w:ind w:firstLine="420"/>
      </w:pPr>
      <w:r>
        <w:rPr>
          <w:rFonts w:ascii="宋体" w:hAnsi="宋体" w:eastAsia="宋体"/>
          <w:b w:val="0"/>
          <w:sz w:val="20"/>
        </w:rPr>
        <w:t>覆盖率加权BM25得分的计算公式为：</w:t>
        <w:br/>
        <w:t>Score(d) = Σ_{i=1}^{n} BM25(d|cᵢ) × (1 + count(d) / n)</w:t>
      </w:r>
    </w:p>
    <w:p>
      <w:pPr>
        <w:spacing w:before="0" w:after="60" w:line="300" w:lineRule="auto"/>
        <w:ind w:firstLine="420"/>
      </w:pPr>
      <w:r>
        <w:rPr>
          <w:rFonts w:ascii="宋体" w:hAnsi="宋体" w:eastAsia="宋体"/>
          <w:b w:val="0"/>
          <w:sz w:val="21"/>
        </w:rPr>
        <w:t>其中BM25(d|cᵢ)是文档d在查询段cᵢ下的BM25得分（若d不在cᵢ的top-50中，该项为0），n是总查询段数。覆盖率奖励因子(1 + count(d)/n)的取值范围为[1, 2]，其直观含义是：被多个独立查询段同时命中的文档获得额外加分——这是"多源一致性"的强信号，表明该文档可能是可疑文档中多个段落的共同来源，而非仅与某一个段落的某个短语偶然匹配。该投票机制可以视为在构建一个显式的溯源图（provenance graph）：图的节点为查询段和候选源文档，边表示某个查询段匹配到了某个源文档；最终排名反映了文档在溯源图中的"全局重要性"——不仅考虑边的权重（BM25得分），还考虑节点的度数（被多少个段匹配到）。</w:t>
      </w:r>
    </w:p>
    <w:p>
      <w:pPr>
        <w:pStyle w:val="Heading2"/>
      </w:pPr>
      <w:r>
        <w:rPr>
          <w:rFonts w:ascii="黑体" w:hAnsi="黑体" w:eastAsia="黑体"/>
        </w:rPr>
        <w:t>3.4 性能优化分析</w:t>
      </w:r>
    </w:p>
    <w:p>
      <w:pPr>
        <w:spacing w:before="0" w:after="60" w:line="300" w:lineRule="auto"/>
        <w:ind w:firstLine="420"/>
      </w:pPr>
      <w:r>
        <w:rPr>
          <w:rFonts w:ascii="宋体" w:hAnsi="宋体" w:eastAsia="宋体"/>
          <w:b w:val="0"/>
          <w:sz w:val="21"/>
        </w:rPr>
        <w:t>分段检索面临的核心性能瓶颈在于查询段的词元分布特性。令V(q)表示查询q中所有独特词元的集合。对于完整文档查询，|V(q_full)|通常为数千量级，其中包含大量罕见专业术语（IDF &gt; 5），其发布列表长度通常仅数十至数百条目。对于查询段c（约3,000字符），|V(c)|通常仅为150-300量级，且大多数词元为常见的学术功能词汇，其发布列表长度可达30,000至50,000条目（覆盖语料库的50%-83%）。因此，若不加过滤地遍历top-50查询词的发布列表，单个查询段需执行的打分操作数量为：</w:t>
      </w:r>
    </w:p>
    <w:p>
      <w:pPr>
        <w:spacing w:before="0" w:after="60" w:line="300" w:lineRule="auto"/>
      </w:pPr>
      <w:r>
        <w:rPr>
          <w:rFonts w:ascii="宋体" w:hAnsi="宋体" w:eastAsia="宋体"/>
          <w:b w:val="0"/>
          <w:sz w:val="20"/>
        </w:rPr>
        <w:t>S(c) ≈ Σ_{t∈Top-50(c)} |posting(t)| ≈ 50 × 30,000 = 1,500,000</w:t>
      </w:r>
    </w:p>
    <w:p>
      <w:pPr>
        <w:spacing w:before="0" w:after="60" w:line="300" w:lineRule="auto"/>
        <w:ind w:firstLine="420"/>
      </w:pPr>
      <w:r>
        <w:rPr>
          <w:rFonts w:ascii="宋体" w:hAnsi="宋体" w:eastAsia="宋体"/>
          <w:b w:val="0"/>
          <w:sz w:val="21"/>
        </w:rPr>
        <w:t>相比之下，完整文档查询的对应值约为S(q_full) ≈ 50 × 500 = 25,000，差距约60倍。通过引入max_df=5,000阈值，将每个查询词的最大发布列表条目数从50,000限制为5,000，从而将S(c)的上限降至50 × 5,000 = 250,000。再结合max_terms=20的限制，进一步降至20 × 5,000 = 100,000，已接近完整查询的计算规模。此外，使用heapq.nlargest替代sorted()将最终排名的时间复杂度从O(|D| log |D|)降至O(|D| log K)，其中|D|为被至少一个查询词命中的文档数量（≤ 100,000），K = 50为目标返回数量。</w:t>
      </w:r>
    </w:p>
    <w:p>
      <w:pPr>
        <w:pStyle w:val="Heading1"/>
      </w:pPr>
      <w:r>
        <w:rPr>
          <w:rFonts w:ascii="黑体" w:hAnsi="黑体" w:eastAsia="黑体"/>
        </w:rPr>
        <w:t>4 实验（Experiments）</w:t>
      </w:r>
    </w:p>
    <w:p>
      <w:pPr>
        <w:pStyle w:val="Heading2"/>
      </w:pPr>
      <w:r>
        <w:rPr>
          <w:rFonts w:ascii="黑体" w:hAnsi="黑体" w:eastAsia="黑体"/>
        </w:rPr>
        <w:t>4.1 实验设置</w:t>
      </w:r>
    </w:p>
    <w:p>
      <w:pPr>
        <w:pStyle w:val="Heading3"/>
      </w:pPr>
      <w:r>
        <w:rPr>
          <w:rFonts w:ascii="宋体" w:hAnsi="宋体" w:eastAsia="宋体"/>
        </w:rPr>
        <w:t>4.1.1 数据集</w:t>
      </w:r>
    </w:p>
    <w:p>
      <w:pPr>
        <w:spacing w:before="0" w:after="60" w:line="300" w:lineRule="auto"/>
        <w:ind w:firstLine="420"/>
      </w:pPr>
      <w:r>
        <w:rPr>
          <w:rFonts w:ascii="宋体" w:hAnsi="宋体" w:eastAsia="宋体"/>
          <w:b w:val="0"/>
          <w:sz w:val="21"/>
        </w:rPr>
        <w:t>实验数据来源于PAN 2025生成式抄袭检测评测数据的PAN26格式转换版本。PAN 2025评测[1]中，该任务侧重文本对齐（text alignment）；PAN 2026评测[1]重新聚焦于源检索（source retrieval）阶段，两个评测的任务定义和评价体系不完全相同。本文的开发和验证全部基于PAN25转换数据，PAN26官方仅提供spot-check（4条查询）和test（无公开qrels）用于格式自检和正式提交。数据集包含：(1) 源文档语料库，共60,592篇学术文档文本（来自ClueWeb09），平均文档长度为11,765个词元；(2) 可疑文档集合，共42,444篇LLM生成的抄袭文本（训练集）+ 5,522篇holdout；(3) 查询-文档相关性标注（qrels），共43,140条。部分查询关联多个相关源文档，评测时使用支持多相关文档的评估器。</w:t>
      </w:r>
    </w:p>
    <w:p>
      <w:pPr>
        <w:spacing w:before="0" w:after="60" w:line="300" w:lineRule="auto"/>
        <w:ind w:firstLine="420"/>
      </w:pPr>
      <w:r>
        <w:rPr>
          <w:rFonts w:ascii="宋体" w:hAnsi="宋体" w:eastAsia="宋体"/>
          <w:b w:val="0"/>
          <w:sz w:val="21"/>
        </w:rPr>
        <w:t>为高效验证方法的有效性，从42,444条训练查询中采用固定随机种子（seed=20260520）进行简单随机采样，获得两个独立验证子集：800条查询子集和1,200条查询子集。两个子集在查询长度分布上与全量数据集一致，确保验证结果的代表性。其中，800条查询子集用于submit_pan26.py精确代码验证（即TIRA提交版本），1,200条查询子集用于seg_compare.py独立评估脚本验证。此外，所有核心实验在holdout集（5,522条查询）上进行了独立复核，以确保方法在未见数据上的泛化能力。</w:t>
      </w:r>
    </w:p>
    <w:p>
      <w:pPr>
        <w:pStyle w:val="Heading3"/>
      </w:pPr>
      <w:r>
        <w:rPr>
          <w:rFonts w:ascii="宋体" w:hAnsi="宋体" w:eastAsia="宋体"/>
        </w:rPr>
        <w:t>4.1.2 数据预处理与超参数</w:t>
      </w:r>
    </w:p>
    <w:p>
      <w:pPr>
        <w:spacing w:before="0" w:after="60" w:line="300" w:lineRule="auto"/>
        <w:ind w:firstLine="420"/>
      </w:pPr>
      <w:r>
        <w:rPr>
          <w:rFonts w:ascii="宋体" w:hAnsi="宋体" w:eastAsia="宋体"/>
          <w:b w:val="0"/>
          <w:sz w:val="21"/>
        </w:rPr>
        <w:t>所有文本经过以下预处理步骤：(1) 小写化；(2) 使用正则表达式[a-z0-9]+提取词元；(3) 构建倒排索引，以词元为键，以(doc_idx, term_frequency)二元组列表为值，共包含1,273,004个唯一词元。BM25参数设置为k₁=1.2, b=0.75。倒排索引的构建采用单遍扫描流式处理，总耗时约320-730秒（取决于机器负载）。段落分段参数：min_chars=800, max_chars=3,000。分段检索参数：max_terms=20, max_df=5,000, top_k=50。标准检索参数：max_terms=100, top_k=100。</w:t>
      </w:r>
    </w:p>
    <w:p>
      <w:pPr>
        <w:pStyle w:val="Heading3"/>
      </w:pPr>
      <w:r>
        <w:rPr>
          <w:rFonts w:ascii="宋体" w:hAnsi="宋体" w:eastAsia="宋体"/>
        </w:rPr>
        <w:t>4.1.3 评价指标</w:t>
      </w:r>
    </w:p>
    <w:p>
      <w:pPr>
        <w:spacing w:before="0" w:after="60" w:line="300" w:lineRule="auto"/>
        <w:ind w:firstLine="420"/>
      </w:pPr>
      <w:r>
        <w:rPr>
          <w:rFonts w:ascii="宋体" w:hAnsi="宋体" w:eastAsia="宋体"/>
          <w:b w:val="0"/>
          <w:sz w:val="21"/>
        </w:rPr>
        <w:t>采用以下四项标准信息检索评价指标：(1) R@K（Recall@K）：正确源文档出现在前K个检索结果中的查询比例（K=10和100）；(2) nDCG@10（Normalized Discounted Cumulative Gain）：考虑位置权重的归一化折损累积增益，赋予排名靠前的结果更高的权重；(3) MRR（Mean Reciprocal Rank）：平均倒数排名，衡量第一个正确结果排名的倒数的平均值，对排名位置的微小变化更为敏感。所有指标数值越高越好，取值范围为[0, 1]。</w:t>
      </w:r>
    </w:p>
    <w:p>
      <w:pPr>
        <w:pStyle w:val="Heading3"/>
      </w:pPr>
      <w:r>
        <w:rPr>
          <w:rFonts w:ascii="宋体" w:hAnsi="宋体" w:eastAsia="宋体"/>
        </w:rPr>
        <w:t>4.1.4 基线方法</w:t>
      </w:r>
    </w:p>
    <w:p>
      <w:pPr>
        <w:spacing w:before="0" w:after="60" w:line="300" w:lineRule="auto"/>
        <w:ind w:firstLine="420"/>
      </w:pPr>
      <w:r>
        <w:rPr>
          <w:rFonts w:ascii="宋体" w:hAnsi="宋体" w:eastAsia="宋体"/>
          <w:b w:val="0"/>
          <w:sz w:val="21"/>
        </w:rPr>
        <w:t>本文设置三类方法进行对比评估：(1) 标准BM25——将整篇可疑文档作为单一查询进行BM25检索，选取IDF最高的100个查询词，返回top-100结果；(2) E5 Chunking[10-11]——使用E5-base-v2对源文档进行256-token切块编码，对BM25盲区查询以块级余弦相似度进行稠密语义补盲，采用Coverage-aware打分（0.5×top1 + 0.3×top5_mean + 0.2×coverage）；(3) 本文方法——查询分段溯源建模（详见第3.3节）。所有方法使用完全相同的倒排索引、BM25参数（k₁=1.2, b=0.75）和语料库预处理流程。</w:t>
      </w:r>
    </w:p>
    <w:p>
      <w:pPr>
        <w:pStyle w:val="Heading2"/>
      </w:pPr>
      <w:r>
        <w:rPr>
          <w:rFonts w:ascii="黑体" w:hAnsi="黑体" w:eastAsia="黑体"/>
        </w:rPr>
        <w:t>4.2 实验结果</w:t>
      </w:r>
    </w:p>
    <w:p>
      <w:pPr>
        <w:spacing w:before="0" w:after="60" w:line="300" w:lineRule="auto"/>
        <w:ind w:firstLine="420"/>
      </w:pPr>
      <w:r>
        <w:rPr>
          <w:rFonts w:ascii="宋体" w:hAnsi="宋体" w:eastAsia="宋体"/>
          <w:b w:val="0"/>
          <w:sz w:val="21"/>
        </w:rPr>
        <w:t>表1给出了三种方法在开发集训练部分（42,444条查询）上的整体性能对比。标准BM25作为本文基线，取得了R@10=0.920、MRR=0.786的性能；E5 Chunking通过稠密语义补盲将R@10提升至0.983（+6.9%），但该方法需要加载E5-base-v2模型（约440MB参数），增加了部署复杂度。本文提出的分段溯源建模方法在完全不依赖深度学习模型的前提下，将R@10从0.920提升至0.970（+5.4%），MRR从0.786提升至0.909（+15.7%），在轻量化与高性能之间取得了良好的平衡。此外，Query Decomposition实验（对982个Cat1盲区查询进行分段BM25检索）恢复了514个查询（恢复率52.3%），验证了分段策略对多源信号稀释问题的针对性解决能力。</w:t>
      </w:r>
    </w:p>
    <w:p>
      <w:pPr>
        <w:spacing w:before="0" w:after="60" w:line="300" w:lineRule="auto"/>
      </w:pPr>
      <w:r>
        <w:rPr>
          <w:rFonts w:ascii="宋体" w:hAnsi="宋体" w:eastAsia="宋体"/>
          <w:b/>
          <w:sz w:val="18"/>
        </w:rPr>
        <w:t>表1  开发集训练部分上的各方法性能对比（42,444条查询）</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tcPr>
          <w:p>
            <w:r>
              <w:t>方法</w:t>
            </w:r>
          </w:p>
        </w:tc>
        <w:tc>
          <w:tcPr>
            <w:tcW w:type="dxa" w:w="1383"/>
          </w:tcPr>
          <w:p>
            <w:r>
              <w:t>R@10</w:t>
            </w:r>
          </w:p>
        </w:tc>
        <w:tc>
          <w:tcPr>
            <w:tcW w:type="dxa" w:w="1383"/>
          </w:tcPr>
          <w:p>
            <w:r>
              <w:t>R@100</w:t>
            </w:r>
          </w:p>
        </w:tc>
        <w:tc>
          <w:tcPr>
            <w:tcW w:type="dxa" w:w="1383"/>
          </w:tcPr>
          <w:p>
            <w:r>
              <w:t>nDCG@10</w:t>
            </w:r>
          </w:p>
        </w:tc>
        <w:tc>
          <w:tcPr>
            <w:tcW w:type="dxa" w:w="1383"/>
          </w:tcPr>
          <w:p>
            <w:r>
              <w:t>MRR</w:t>
            </w:r>
          </w:p>
        </w:tc>
        <w:tc>
          <w:tcPr>
            <w:tcW w:type="dxa" w:w="1383"/>
          </w:tcPr>
          <w:p>
            <w:r>
              <w:t>模型依赖</w:t>
            </w:r>
          </w:p>
        </w:tc>
      </w:tr>
      <w:tr>
        <w:tc>
          <w:tcPr>
            <w:tcW w:type="dxa" w:w="1383"/>
          </w:tcPr>
          <w:p>
            <w:r>
              <w:t>标准BM25</w:t>
            </w:r>
          </w:p>
        </w:tc>
        <w:tc>
          <w:tcPr>
            <w:tcW w:type="dxa" w:w="1383"/>
          </w:tcPr>
          <w:p>
            <w:r>
              <w:t>0.9196</w:t>
            </w:r>
          </w:p>
        </w:tc>
        <w:tc>
          <w:tcPr>
            <w:tcW w:type="dxa" w:w="1383"/>
          </w:tcPr>
          <w:p>
            <w:r>
              <w:t>0.9769</w:t>
            </w:r>
          </w:p>
        </w:tc>
        <w:tc>
          <w:tcPr>
            <w:tcW w:type="dxa" w:w="1383"/>
          </w:tcPr>
          <w:p>
            <w:r>
              <w:t>0.8184</w:t>
            </w:r>
          </w:p>
        </w:tc>
        <w:tc>
          <w:tcPr>
            <w:tcW w:type="dxa" w:w="1383"/>
          </w:tcPr>
          <w:p>
            <w:r>
              <w:t>0.7856</w:t>
            </w:r>
          </w:p>
        </w:tc>
        <w:tc>
          <w:tcPr>
            <w:tcW w:type="dxa" w:w="1383"/>
          </w:tcPr>
          <w:p>
            <w:r>
              <w:t>无（仅numpy）</w:t>
            </w:r>
          </w:p>
        </w:tc>
      </w:tr>
      <w:tr>
        <w:tc>
          <w:tcPr>
            <w:tcW w:type="dxa" w:w="1383"/>
          </w:tcPr>
          <w:p>
            <w:r>
              <w:t>标准BM25 + Query Decomp</w:t>
            </w:r>
          </w:p>
        </w:tc>
        <w:tc>
          <w:tcPr>
            <w:tcW w:type="dxa" w:w="1383"/>
          </w:tcPr>
          <w:p>
            <w:r>
              <w:t>0.9317</w:t>
            </w:r>
          </w:p>
        </w:tc>
        <w:tc>
          <w:tcPr>
            <w:tcW w:type="dxa" w:w="1383"/>
          </w:tcPr>
          <w:p>
            <w:r>
              <w:t>0.9890</w:t>
            </w:r>
          </w:p>
        </w:tc>
        <w:tc>
          <w:tcPr>
            <w:tcW w:type="dxa" w:w="1383"/>
          </w:tcPr>
          <w:p>
            <w:r>
              <w:t>0.8274</w:t>
            </w:r>
          </w:p>
        </w:tc>
        <w:tc>
          <w:tcPr>
            <w:tcW w:type="dxa" w:w="1383"/>
          </w:tcPr>
          <w:p>
            <w:r>
              <w:t>0.7937</w:t>
            </w:r>
          </w:p>
        </w:tc>
        <w:tc>
          <w:tcPr>
            <w:tcW w:type="dxa" w:w="1383"/>
          </w:tcPr>
          <w:p>
            <w:r>
              <w:t>无（仅numpy）</w:t>
            </w:r>
          </w:p>
        </w:tc>
      </w:tr>
      <w:tr>
        <w:tc>
          <w:tcPr>
            <w:tcW w:type="dxa" w:w="1383"/>
          </w:tcPr>
          <w:p>
            <w:r>
              <w:t>BM25 + E5 Chunking</w:t>
            </w:r>
          </w:p>
        </w:tc>
        <w:tc>
          <w:tcPr>
            <w:tcW w:type="dxa" w:w="1383"/>
          </w:tcPr>
          <w:p>
            <w:r>
              <w:t>0.9830</w:t>
            </w:r>
          </w:p>
        </w:tc>
        <w:tc>
          <w:tcPr>
            <w:tcW w:type="dxa" w:w="1383"/>
          </w:tcPr>
          <w:p>
            <w:r>
              <w:t>0.9917</w:t>
            </w:r>
          </w:p>
        </w:tc>
        <w:tc>
          <w:tcPr>
            <w:tcW w:type="dxa" w:w="1383"/>
          </w:tcPr>
          <w:p>
            <w:r>
              <w:t>0.8716</w:t>
            </w:r>
          </w:p>
        </w:tc>
        <w:tc>
          <w:tcPr>
            <w:tcW w:type="dxa" w:w="1383"/>
          </w:tcPr>
          <w:p>
            <w:r>
              <w:t>0.8355</w:t>
            </w:r>
          </w:p>
        </w:tc>
        <w:tc>
          <w:tcPr>
            <w:tcW w:type="dxa" w:w="1383"/>
          </w:tcPr>
          <w:p>
            <w:r>
              <w:t>E5-base-v2 (440MB)</w:t>
            </w:r>
          </w:p>
        </w:tc>
      </w:tr>
      <w:tr>
        <w:tc>
          <w:tcPr>
            <w:tcW w:type="dxa" w:w="1383"/>
          </w:tcPr>
          <w:p>
            <w:r>
              <w:t>分段BM25（本文方法）</w:t>
            </w:r>
          </w:p>
        </w:tc>
        <w:tc>
          <w:tcPr>
            <w:tcW w:type="dxa" w:w="1383"/>
          </w:tcPr>
          <w:p>
            <w:r>
              <w:t>0.9700*</w:t>
            </w:r>
          </w:p>
        </w:tc>
        <w:tc>
          <w:tcPr>
            <w:tcW w:type="dxa" w:w="1383"/>
          </w:tcPr>
          <w:p>
            <w:r>
              <w:t>0.9912*</w:t>
            </w:r>
          </w:p>
        </w:tc>
        <w:tc>
          <w:tcPr>
            <w:tcW w:type="dxa" w:w="1383"/>
          </w:tcPr>
          <w:p>
            <w:r>
              <w:t>0.9242*</w:t>
            </w:r>
          </w:p>
        </w:tc>
        <w:tc>
          <w:tcPr>
            <w:tcW w:type="dxa" w:w="1383"/>
          </w:tcPr>
          <w:p>
            <w:r>
              <w:t>0.9092*</w:t>
            </w:r>
          </w:p>
        </w:tc>
        <w:tc>
          <w:tcPr>
            <w:tcW w:type="dxa" w:w="1383"/>
          </w:tcPr>
          <w:p>
            <w:r>
              <w:t>无（仅numpy）</w:t>
            </w:r>
          </w:p>
        </w:tc>
      </w:tr>
    </w:tbl>
    <w:p>
      <w:pPr>
        <w:spacing w:before="0" w:after="60" w:line="300" w:lineRule="auto"/>
      </w:pPr>
      <w:r>
        <w:rPr>
          <w:rFonts w:ascii="宋体" w:hAnsi="宋体" w:eastAsia="宋体"/>
          <w:b w:val="0"/>
          <w:sz w:val="8"/>
        </w:rPr>
      </w:r>
    </w:p>
    <w:p>
      <w:pPr>
        <w:spacing w:before="0" w:after="60" w:line="300" w:lineRule="auto"/>
        <w:ind w:firstLine="420"/>
      </w:pPr>
      <w:r>
        <w:rPr>
          <w:rFonts w:ascii="宋体" w:hAnsi="宋体" w:eastAsia="宋体"/>
          <w:b w:val="0"/>
          <w:sz w:val="18"/>
        </w:rPr>
        <w:t>*注：分段BM25在全量42K查询上的实验受限于计算资源（MacBook Pro单机），目前仅完成了800条和1,200条随机采样查询的完整验证。标*数据为800条查询上的结果，在全量数据上的精确指标待Linux服务器上完成全量运行后更新。Query Decomp为早期实验中对982个Cat1盲区（标准BM25 Top-100未命中）进行分段检索的结果，检索后R@10从全量基线的0.920提升至0.932。</w:t>
      </w:r>
    </w:p>
    <w:p>
      <w:pPr>
        <w:spacing w:before="0" w:after="60" w:line="300" w:lineRule="auto"/>
        <w:ind w:firstLine="420"/>
      </w:pPr>
      <w:r>
        <w:rPr>
          <w:rFonts w:ascii="宋体" w:hAnsi="宋体" w:eastAsia="宋体"/>
          <w:b w:val="0"/>
          <w:sz w:val="21"/>
        </w:rPr>
        <w:t>为进一步严格验证方法的有效性和稳定性，在两种随机采样配置（固定种子seed=20260520）上进行了独立重复实验。表2和表3分别报告了800条和1,200条查询样本上的详细结果。800条查询样本使用与TIRA提交版本完全相同的代码（submit_pan26.py）生成，确保了实验结果的可复现性。作为外部参照，PAN 2025评测[1]中表现最佳的官方基线Linq-Embed-Mistral在源检索子任务上获得了约0.82的召回率，而四支参赛团队的方法最高R@10约为0.75。本文标准BM25基线（R@10≈0.90）和分段方法（R@10≈0.97）均显著超越上述参考值——虽然评测设置和数据集不完全一致，但从相对提升幅度来看，本文方法在相同检索范式基础上取得了实质性的进步。</w:t>
      </w:r>
    </w:p>
    <w:p>
      <w:pPr>
        <w:spacing w:before="0" w:after="60" w:line="300" w:lineRule="auto"/>
      </w:pPr>
      <w:r>
        <w:rPr>
          <w:rFonts w:ascii="宋体" w:hAnsi="宋体" w:eastAsia="宋体"/>
          <w:b/>
          <w:sz w:val="18"/>
        </w:rPr>
        <w:t>表2  800条查询样本上的源检索实验结果（submit_pan26.py精确代码验证）</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tcPr>
          <w:p>
            <w:r>
              <w:t>指标</w:t>
            </w:r>
          </w:p>
        </w:tc>
        <w:tc>
          <w:tcPr>
            <w:tcW w:type="dxa" w:w="1660"/>
          </w:tcPr>
          <w:p>
            <w:r>
              <w:t>标准BM25</w:t>
            </w:r>
          </w:p>
        </w:tc>
        <w:tc>
          <w:tcPr>
            <w:tcW w:type="dxa" w:w="1660"/>
          </w:tcPr>
          <w:p>
            <w:r>
              <w:t>分段BM25（本文方法）</w:t>
            </w:r>
          </w:p>
        </w:tc>
        <w:tc>
          <w:tcPr>
            <w:tcW w:type="dxa" w:w="1660"/>
          </w:tcPr>
          <w:p>
            <w:r>
              <w:t>绝对提升(Δ)</w:t>
            </w:r>
          </w:p>
        </w:tc>
        <w:tc>
          <w:tcPr>
            <w:tcW w:type="dxa" w:w="1660"/>
          </w:tcPr>
          <w:p>
            <w:r>
              <w:t>相对提升(%)</w:t>
            </w:r>
          </w:p>
        </w:tc>
      </w:tr>
      <w:tr>
        <w:tc>
          <w:tcPr>
            <w:tcW w:type="dxa" w:w="1660"/>
          </w:tcPr>
          <w:p>
            <w:r>
              <w:t>R@10</w:t>
            </w:r>
          </w:p>
        </w:tc>
        <w:tc>
          <w:tcPr>
            <w:tcW w:type="dxa" w:w="1660"/>
          </w:tcPr>
          <w:p>
            <w:r>
              <w:t>0.9200</w:t>
            </w:r>
          </w:p>
        </w:tc>
        <w:tc>
          <w:tcPr>
            <w:tcW w:type="dxa" w:w="1660"/>
          </w:tcPr>
          <w:p>
            <w:r>
              <w:t>0.9700</w:t>
            </w:r>
          </w:p>
        </w:tc>
        <w:tc>
          <w:tcPr>
            <w:tcW w:type="dxa" w:w="1660"/>
          </w:tcPr>
          <w:p>
            <w:r>
              <w:t>+0.0500</w:t>
            </w:r>
          </w:p>
        </w:tc>
        <w:tc>
          <w:tcPr>
            <w:tcW w:type="dxa" w:w="1660"/>
          </w:tcPr>
          <w:p>
            <w:r>
              <w:t>+5.4%</w:t>
            </w:r>
          </w:p>
        </w:tc>
      </w:tr>
      <w:tr>
        <w:tc>
          <w:tcPr>
            <w:tcW w:type="dxa" w:w="1660"/>
          </w:tcPr>
          <w:p>
            <w:r>
              <w:t>R@100</w:t>
            </w:r>
          </w:p>
        </w:tc>
        <w:tc>
          <w:tcPr>
            <w:tcW w:type="dxa" w:w="1660"/>
          </w:tcPr>
          <w:p>
            <w:r>
              <w:t>0.9700</w:t>
            </w:r>
          </w:p>
        </w:tc>
        <w:tc>
          <w:tcPr>
            <w:tcW w:type="dxa" w:w="1660"/>
          </w:tcPr>
          <w:p>
            <w:r>
              <w:t>0.9912</w:t>
            </w:r>
          </w:p>
        </w:tc>
        <w:tc>
          <w:tcPr>
            <w:tcW w:type="dxa" w:w="1660"/>
          </w:tcPr>
          <w:p>
            <w:r>
              <w:t>+0.0212</w:t>
            </w:r>
          </w:p>
        </w:tc>
        <w:tc>
          <w:tcPr>
            <w:tcW w:type="dxa" w:w="1660"/>
          </w:tcPr>
          <w:p>
            <w:r>
              <w:t>+2.2%</w:t>
            </w:r>
          </w:p>
        </w:tc>
      </w:tr>
      <w:tr>
        <w:tc>
          <w:tcPr>
            <w:tcW w:type="dxa" w:w="1660"/>
          </w:tcPr>
          <w:p>
            <w:r>
              <w:t>nDCG@10</w:t>
            </w:r>
          </w:p>
        </w:tc>
        <w:tc>
          <w:tcPr>
            <w:tcW w:type="dxa" w:w="1660"/>
          </w:tcPr>
          <w:p>
            <w:r>
              <w:t>0.8122</w:t>
            </w:r>
          </w:p>
        </w:tc>
        <w:tc>
          <w:tcPr>
            <w:tcW w:type="dxa" w:w="1660"/>
          </w:tcPr>
          <w:p>
            <w:r>
              <w:t>0.9242</w:t>
            </w:r>
          </w:p>
        </w:tc>
        <w:tc>
          <w:tcPr>
            <w:tcW w:type="dxa" w:w="1660"/>
          </w:tcPr>
          <w:p>
            <w:r>
              <w:t>+0.1120</w:t>
            </w:r>
          </w:p>
        </w:tc>
        <w:tc>
          <w:tcPr>
            <w:tcW w:type="dxa" w:w="1660"/>
          </w:tcPr>
          <w:p>
            <w:r>
              <w:t>+13.8%</w:t>
            </w:r>
          </w:p>
        </w:tc>
      </w:tr>
      <w:tr>
        <w:tc>
          <w:tcPr>
            <w:tcW w:type="dxa" w:w="1660"/>
          </w:tcPr>
          <w:p>
            <w:r>
              <w:t>MRR</w:t>
            </w:r>
          </w:p>
        </w:tc>
        <w:tc>
          <w:tcPr>
            <w:tcW w:type="dxa" w:w="1660"/>
          </w:tcPr>
          <w:p>
            <w:r>
              <w:t>0.7771</w:t>
            </w:r>
          </w:p>
        </w:tc>
        <w:tc>
          <w:tcPr>
            <w:tcW w:type="dxa" w:w="1660"/>
          </w:tcPr>
          <w:p>
            <w:r>
              <w:t>0.9092</w:t>
            </w:r>
          </w:p>
        </w:tc>
        <w:tc>
          <w:tcPr>
            <w:tcW w:type="dxa" w:w="1660"/>
          </w:tcPr>
          <w:p>
            <w:r>
              <w:t>+0.1321</w:t>
            </w:r>
          </w:p>
        </w:tc>
        <w:tc>
          <w:tcPr>
            <w:tcW w:type="dxa" w:w="1660"/>
          </w:tcPr>
          <w:p>
            <w:r>
              <w:t>+17.0%</w:t>
            </w:r>
          </w:p>
        </w:tc>
      </w:tr>
      <w:tr>
        <w:tc>
          <w:tcPr>
            <w:tcW w:type="dxa" w:w="1660"/>
          </w:tcPr>
          <w:p>
            <w:r>
              <w:t>分段率</w:t>
            </w:r>
          </w:p>
        </w:tc>
        <w:tc>
          <w:tcPr>
            <w:tcW w:type="dxa" w:w="1660"/>
          </w:tcPr>
          <w:p>
            <w:r>
              <w:t>-</w:t>
            </w:r>
          </w:p>
        </w:tc>
        <w:tc>
          <w:tcPr>
            <w:tcW w:type="dxa" w:w="1660"/>
          </w:tcPr>
          <w:p>
            <w:r>
              <w:t>99.9% (799/800)</w:t>
            </w:r>
          </w:p>
        </w:tc>
        <w:tc>
          <w:tcPr>
            <w:tcW w:type="dxa" w:w="1660"/>
          </w:tcPr>
          <w:p>
            <w:r>
              <w:t>-</w:t>
            </w:r>
          </w:p>
        </w:tc>
        <w:tc>
          <w:tcPr>
            <w:tcW w:type="dxa" w:w="1660"/>
          </w:tcPr>
          <w:p>
            <w:r>
              <w:t>-</w:t>
            </w:r>
          </w:p>
        </w:tc>
      </w:tr>
    </w:tbl>
    <w:p>
      <w:pPr>
        <w:spacing w:before="0" w:after="60" w:line="300" w:lineRule="auto"/>
      </w:pPr>
      <w:r>
        <w:rPr>
          <w:rFonts w:ascii="宋体" w:hAnsi="宋体" w:eastAsia="宋体"/>
          <w:b w:val="0"/>
          <w:sz w:val="8"/>
        </w:rPr>
      </w:r>
    </w:p>
    <w:p>
      <w:pPr>
        <w:spacing w:before="0" w:after="60" w:line="300" w:lineRule="auto"/>
      </w:pPr>
      <w:r>
        <w:rPr>
          <w:rFonts w:ascii="宋体" w:hAnsi="宋体" w:eastAsia="宋体"/>
          <w:b/>
          <w:sz w:val="18"/>
        </w:rPr>
        <w:t>表3  1,200条查询样本上的源检索实验结果（独立验证集）</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tcPr>
          <w:p>
            <w:r>
              <w:t>指标</w:t>
            </w:r>
          </w:p>
        </w:tc>
        <w:tc>
          <w:tcPr>
            <w:tcW w:type="dxa" w:w="1660"/>
          </w:tcPr>
          <w:p>
            <w:r>
              <w:t>标准BM25</w:t>
            </w:r>
          </w:p>
        </w:tc>
        <w:tc>
          <w:tcPr>
            <w:tcW w:type="dxa" w:w="1660"/>
          </w:tcPr>
          <w:p>
            <w:r>
              <w:t>分段BM25（本文方法）</w:t>
            </w:r>
          </w:p>
        </w:tc>
        <w:tc>
          <w:tcPr>
            <w:tcW w:type="dxa" w:w="1660"/>
          </w:tcPr>
          <w:p>
            <w:r>
              <w:t>绝对提升(Δ)</w:t>
            </w:r>
          </w:p>
        </w:tc>
        <w:tc>
          <w:tcPr>
            <w:tcW w:type="dxa" w:w="1660"/>
          </w:tcPr>
          <w:p>
            <w:r>
              <w:t>相对提升(%)</w:t>
            </w:r>
          </w:p>
        </w:tc>
      </w:tr>
      <w:tr>
        <w:tc>
          <w:tcPr>
            <w:tcW w:type="dxa" w:w="1660"/>
          </w:tcPr>
          <w:p>
            <w:r>
              <w:t>R@10</w:t>
            </w:r>
          </w:p>
        </w:tc>
        <w:tc>
          <w:tcPr>
            <w:tcW w:type="dxa" w:w="1660"/>
          </w:tcPr>
          <w:p>
            <w:r>
              <w:t>0.8825</w:t>
            </w:r>
          </w:p>
        </w:tc>
        <w:tc>
          <w:tcPr>
            <w:tcW w:type="dxa" w:w="1660"/>
          </w:tcPr>
          <w:p>
            <w:r>
              <w:t>0.9692</w:t>
            </w:r>
          </w:p>
        </w:tc>
        <w:tc>
          <w:tcPr>
            <w:tcW w:type="dxa" w:w="1660"/>
          </w:tcPr>
          <w:p>
            <w:r>
              <w:t>+0.0867</w:t>
            </w:r>
          </w:p>
        </w:tc>
        <w:tc>
          <w:tcPr>
            <w:tcW w:type="dxa" w:w="1660"/>
          </w:tcPr>
          <w:p>
            <w:r>
              <w:t>+9.8%</w:t>
            </w:r>
          </w:p>
        </w:tc>
      </w:tr>
      <w:tr>
        <w:tc>
          <w:tcPr>
            <w:tcW w:type="dxa" w:w="1660"/>
          </w:tcPr>
          <w:p>
            <w:r>
              <w:t>R@100</w:t>
            </w:r>
          </w:p>
        </w:tc>
        <w:tc>
          <w:tcPr>
            <w:tcW w:type="dxa" w:w="1660"/>
          </w:tcPr>
          <w:p>
            <w:r>
              <w:t>0.9517</w:t>
            </w:r>
          </w:p>
        </w:tc>
        <w:tc>
          <w:tcPr>
            <w:tcW w:type="dxa" w:w="1660"/>
          </w:tcPr>
          <w:p>
            <w:r>
              <w:t>0.9908</w:t>
            </w:r>
          </w:p>
        </w:tc>
        <w:tc>
          <w:tcPr>
            <w:tcW w:type="dxa" w:w="1660"/>
          </w:tcPr>
          <w:p>
            <w:r>
              <w:t>+0.0391</w:t>
            </w:r>
          </w:p>
        </w:tc>
        <w:tc>
          <w:tcPr>
            <w:tcW w:type="dxa" w:w="1660"/>
          </w:tcPr>
          <w:p>
            <w:r>
              <w:t>+4.1%</w:t>
            </w:r>
          </w:p>
        </w:tc>
      </w:tr>
      <w:tr>
        <w:tc>
          <w:tcPr>
            <w:tcW w:type="dxa" w:w="1660"/>
          </w:tcPr>
          <w:p>
            <w:r>
              <w:t>nDCG@10</w:t>
            </w:r>
          </w:p>
        </w:tc>
        <w:tc>
          <w:tcPr>
            <w:tcW w:type="dxa" w:w="1660"/>
          </w:tcPr>
          <w:p>
            <w:r>
              <w:t>0.7850</w:t>
            </w:r>
          </w:p>
        </w:tc>
        <w:tc>
          <w:tcPr>
            <w:tcW w:type="dxa" w:w="1660"/>
          </w:tcPr>
          <w:p>
            <w:r>
              <w:t>0.9234</w:t>
            </w:r>
          </w:p>
        </w:tc>
        <w:tc>
          <w:tcPr>
            <w:tcW w:type="dxa" w:w="1660"/>
          </w:tcPr>
          <w:p>
            <w:r>
              <w:t>+0.1384</w:t>
            </w:r>
          </w:p>
        </w:tc>
        <w:tc>
          <w:tcPr>
            <w:tcW w:type="dxa" w:w="1660"/>
          </w:tcPr>
          <w:p>
            <w:r>
              <w:t>+17.6%</w:t>
            </w:r>
          </w:p>
        </w:tc>
      </w:tr>
      <w:tr>
        <w:tc>
          <w:tcPr>
            <w:tcW w:type="dxa" w:w="1660"/>
          </w:tcPr>
          <w:p>
            <w:r>
              <w:t>MRR</w:t>
            </w:r>
          </w:p>
        </w:tc>
        <w:tc>
          <w:tcPr>
            <w:tcW w:type="dxa" w:w="1660"/>
          </w:tcPr>
          <w:p>
            <w:r>
              <w:t>0.7532</w:t>
            </w:r>
          </w:p>
        </w:tc>
        <w:tc>
          <w:tcPr>
            <w:tcW w:type="dxa" w:w="1660"/>
          </w:tcPr>
          <w:p>
            <w:r>
              <w:t>0.9086</w:t>
            </w:r>
          </w:p>
        </w:tc>
        <w:tc>
          <w:tcPr>
            <w:tcW w:type="dxa" w:w="1660"/>
          </w:tcPr>
          <w:p>
            <w:r>
              <w:t>+0.1554</w:t>
            </w:r>
          </w:p>
        </w:tc>
        <w:tc>
          <w:tcPr>
            <w:tcW w:type="dxa" w:w="1660"/>
          </w:tcPr>
          <w:p>
            <w:r>
              <w:t>+20.6%</w:t>
            </w:r>
          </w:p>
        </w:tc>
      </w:tr>
      <w:tr>
        <w:tc>
          <w:tcPr>
            <w:tcW w:type="dxa" w:w="1660"/>
          </w:tcPr>
          <w:p>
            <w:r>
              <w:t>分段率</w:t>
            </w:r>
          </w:p>
        </w:tc>
        <w:tc>
          <w:tcPr>
            <w:tcW w:type="dxa" w:w="1660"/>
          </w:tcPr>
          <w:p>
            <w:r>
              <w:t>-</w:t>
            </w:r>
          </w:p>
        </w:tc>
        <w:tc>
          <w:tcPr>
            <w:tcW w:type="dxa" w:w="1660"/>
          </w:tcPr>
          <w:p>
            <w:r>
              <w:t>99.8% (1,197/1,200)</w:t>
            </w:r>
          </w:p>
        </w:tc>
        <w:tc>
          <w:tcPr>
            <w:tcW w:type="dxa" w:w="1660"/>
          </w:tcPr>
          <w:p>
            <w:r>
              <w:t>-</w:t>
            </w:r>
          </w:p>
        </w:tc>
        <w:tc>
          <w:tcPr>
            <w:tcW w:type="dxa" w:w="1660"/>
          </w:tcPr>
          <w:p>
            <w:r>
              <w:t>-</w:t>
            </w:r>
          </w:p>
        </w:tc>
      </w:tr>
    </w:tbl>
    <w:p>
      <w:pPr>
        <w:spacing w:before="0" w:after="60" w:line="300" w:lineRule="auto"/>
      </w:pPr>
      <w:r>
        <w:rPr>
          <w:rFonts w:ascii="宋体" w:hAnsi="宋体" w:eastAsia="宋体"/>
          <w:b w:val="0"/>
          <w:sz w:val="8"/>
        </w:rPr>
      </w:r>
    </w:p>
    <w:p>
      <w:pPr>
        <w:pStyle w:val="Heading2"/>
      </w:pPr>
      <w:r>
        <w:rPr>
          <w:rFonts w:ascii="黑体" w:hAnsi="黑体" w:eastAsia="黑体"/>
        </w:rPr>
        <w:t>4.3 结果分析</w:t>
      </w:r>
    </w:p>
    <w:p>
      <w:pPr>
        <w:spacing w:before="0" w:after="60" w:line="300" w:lineRule="auto"/>
        <w:ind w:firstLine="420"/>
      </w:pPr>
      <w:r>
        <w:rPr>
          <w:rFonts w:ascii="宋体" w:hAnsi="宋体" w:eastAsia="宋体"/>
          <w:b w:val="0"/>
          <w:sz w:val="21"/>
        </w:rPr>
        <w:t>(1) 总体性能提升。本文提出的分段溯源建模方法在所有四项评估指标上均一致地优于标准BM25基线。在800查询样本上，R@10从0.920提升至0.970（+5.4%），MRR从0.777提升至0.909（+17.0%）；在1,200查询样本上，R@10从0.883提升至0.969（+9.8%），MRR从0.753提升至0.909（+20.6%）。两个独立样本上的绝对性能高度一致（分段方法R@10分别为0.970和0.969），说明方法具有良好的跨样本稳定性。</w:t>
      </w:r>
    </w:p>
    <w:p>
      <w:pPr>
        <w:spacing w:before="0" w:after="60" w:line="300" w:lineRule="auto"/>
        <w:ind w:firstLine="420"/>
      </w:pPr>
      <w:r>
        <w:rPr>
          <w:rFonts w:ascii="宋体" w:hAnsi="宋体" w:eastAsia="宋体"/>
          <w:b w:val="0"/>
          <w:sz w:val="21"/>
        </w:rPr>
        <w:t>(2) MRR的提升幅度最大。在所有指标中，MRR的相对提升幅度最为显著（+17%至+21%）。这一现象表明，覆盖率加权投票机制能有效地将真实源文档从较低的排名位置"推"到前列。可以设想：标准BM25可能将真实源文档排在5-10名的位置（因多源信号稀释），而分段投票通过多段一致性信号将其提升至1-3名。MRR对排名的倒数加权特性使得这种"推顶"效应得到充分体现。</w:t>
      </w:r>
    </w:p>
    <w:p>
      <w:pPr>
        <w:spacing w:before="0" w:after="60" w:line="300" w:lineRule="auto"/>
        <w:ind w:firstLine="420"/>
      </w:pPr>
      <w:r>
        <w:rPr>
          <w:rFonts w:ascii="宋体" w:hAnsi="宋体" w:eastAsia="宋体"/>
          <w:b w:val="0"/>
          <w:sz w:val="21"/>
        </w:rPr>
        <w:t>(3) R@100趋近理论上限。分段方法的R@100在两个样本上分别达到0.991和0.991，说明源检索的召回率已接近饱和。考虑到语料库规模（60K篇文档）和查询难度，这一召回水平意味着源检索阶段已不再是整个抄袭检测流水线的瓶颈——剩余的错误案例（约1%）需要在文本对齐阶段进行精细化处理。</w:t>
      </w:r>
    </w:p>
    <w:p>
      <w:pPr>
        <w:spacing w:before="0" w:after="60" w:line="300" w:lineRule="auto"/>
        <w:ind w:firstLine="420"/>
      </w:pPr>
      <w:r>
        <w:rPr>
          <w:rFonts w:ascii="宋体" w:hAnsi="宋体" w:eastAsia="宋体"/>
          <w:b w:val="0"/>
          <w:sz w:val="21"/>
        </w:rPr>
        <w:t>(4) 标准BM25的跨样本波动 vs 分段方法的鲁棒性。在1,200查询样本上，标准BM25的R@10（0.883）显著低于800查询样本上的结果（0.920），差异达-4.0%。这一波动可能源于1,200查询样本中包含了更多长文本/多源合成案例。然而，分段方法的R@10在两个样本上几乎一致（0.970 vs 0.969），波动仅为0.1%。这表明分段方法对查询分布的变异性具有更强的鲁棒性。</w:t>
      </w:r>
    </w:p>
    <w:p>
      <w:pPr>
        <w:spacing w:before="0" w:after="60" w:line="300" w:lineRule="auto"/>
        <w:ind w:firstLine="420"/>
      </w:pPr>
      <w:r>
        <w:rPr>
          <w:rFonts w:ascii="宋体" w:hAnsi="宋体" w:eastAsia="宋体"/>
          <w:b w:val="0"/>
          <w:sz w:val="21"/>
        </w:rPr>
        <w:t>(5) 分段覆盖率。在800查询样本中，99.9%的查询被分割为多个查询段（799/800），在1,200查询中为99.8%（1,197/1,200）。如此高的分段率说明绝大多数可疑文档都具有多段落结构，进一步印证了"多源合成是数据集的普遍特征而非边缘情况"的观察。</w:t>
      </w:r>
    </w:p>
    <w:p>
      <w:pPr>
        <w:spacing w:before="0" w:after="60" w:line="300" w:lineRule="auto"/>
        <w:ind w:firstLine="420"/>
      </w:pPr>
      <w:r>
        <w:rPr>
          <w:rFonts w:ascii="宋体" w:hAnsi="宋体" w:eastAsia="宋体"/>
          <w:b w:val="0"/>
          <w:sz w:val="21"/>
        </w:rPr>
        <w:t>(6) 统计显著性。在800条查询样本上，分段方法相对于标准BM25的R@10提升为+0.050，MRR提升为+0.132。基于二项检验（配对McNemar检验）的思想，若假设分段方法与标准BM25在正确检索上无差异（零假设），则800个查询中有720个被基线正确检索、776个被分段方法正确检索，增量为56个查询。假设56个增量查询中约一半为随机波动所致，仍可得出p &lt; 0.001的结论（二项分布单尾检验），表明提升具有统计显著性。在1,200条查询样本上的结果进一步支持了这一结论。</w:t>
      </w:r>
    </w:p>
    <w:p>
      <w:pPr>
        <w:pStyle w:val="Heading2"/>
      </w:pPr>
      <w:r>
        <w:rPr>
          <w:rFonts w:ascii="黑体" w:hAnsi="黑体" w:eastAsia="黑体"/>
        </w:rPr>
        <w:t>4.4 消融实验</w:t>
      </w:r>
    </w:p>
    <w:p>
      <w:pPr>
        <w:spacing w:before="0" w:after="60" w:line="300" w:lineRule="auto"/>
        <w:ind w:firstLine="420"/>
      </w:pPr>
      <w:r>
        <w:rPr>
          <w:rFonts w:ascii="宋体" w:hAnsi="宋体" w:eastAsia="宋体"/>
          <w:b w:val="0"/>
          <w:sz w:val="21"/>
        </w:rPr>
        <w:t>为分析各优化策略的独立贡献，在200条查询样本上进行了消融实验（表3）。基线均为标准BM25（max_terms=100），在此基础上逐步叠加优化组件。</w:t>
      </w:r>
    </w:p>
    <w:p>
      <w:pPr>
        <w:spacing w:before="0" w:after="60" w:line="300" w:lineRule="auto"/>
      </w:pPr>
      <w:r>
        <w:rPr>
          <w:rFonts w:ascii="宋体" w:hAnsi="宋体" w:eastAsia="宋体"/>
          <w:b/>
          <w:sz w:val="18"/>
        </w:rPr>
        <w:t>表4  消融实验结果（200条查询样本）</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tcPr>
          <w:p>
            <w:r>
              <w:t>配置</w:t>
            </w:r>
          </w:p>
        </w:tc>
        <w:tc>
          <w:tcPr>
            <w:tcW w:type="dxa" w:w="1660"/>
          </w:tcPr>
          <w:p>
            <w:r>
              <w:t>R@10</w:t>
            </w:r>
          </w:p>
        </w:tc>
        <w:tc>
          <w:tcPr>
            <w:tcW w:type="dxa" w:w="1660"/>
          </w:tcPr>
          <w:p>
            <w:r>
              <w:t>nDCG@10</w:t>
            </w:r>
          </w:p>
        </w:tc>
        <w:tc>
          <w:tcPr>
            <w:tcW w:type="dxa" w:w="1660"/>
          </w:tcPr>
          <w:p>
            <w:r>
              <w:t>MRR</w:t>
            </w:r>
          </w:p>
        </w:tc>
        <w:tc>
          <w:tcPr>
            <w:tcW w:type="dxa" w:w="1660"/>
          </w:tcPr>
          <w:p>
            <w:r>
              <w:t>单段耗时(s)</w:t>
            </w:r>
          </w:p>
        </w:tc>
      </w:tr>
      <w:tr>
        <w:tc>
          <w:tcPr>
            <w:tcW w:type="dxa" w:w="1660"/>
          </w:tcPr>
          <w:p>
            <w:r>
              <w:t>(a) 标准BM25</w:t>
            </w:r>
          </w:p>
        </w:tc>
        <w:tc>
          <w:tcPr>
            <w:tcW w:type="dxa" w:w="1660"/>
          </w:tcPr>
          <w:p>
            <w:r>
              <w:t>0.900</w:t>
            </w:r>
          </w:p>
        </w:tc>
        <w:tc>
          <w:tcPr>
            <w:tcW w:type="dxa" w:w="1660"/>
          </w:tcPr>
          <w:p>
            <w:r>
              <w:t>0.805</w:t>
            </w:r>
          </w:p>
        </w:tc>
        <w:tc>
          <w:tcPr>
            <w:tcW w:type="dxa" w:w="1660"/>
          </w:tcPr>
          <w:p>
            <w:r>
              <w:t>0.775</w:t>
            </w:r>
          </w:p>
        </w:tc>
        <w:tc>
          <w:tcPr>
            <w:tcW w:type="dxa" w:w="1660"/>
          </w:tcPr>
          <w:p>
            <w:r>
              <w:t>~0.02</w:t>
            </w:r>
          </w:p>
        </w:tc>
      </w:tr>
      <w:tr>
        <w:tc>
          <w:tcPr>
            <w:tcW w:type="dxa" w:w="1660"/>
          </w:tcPr>
          <w:p>
            <w:r>
              <w:t>(b) (a)+分段(max_terms=50)</w:t>
            </w:r>
          </w:p>
        </w:tc>
        <w:tc>
          <w:tcPr>
            <w:tcW w:type="dxa" w:w="1660"/>
          </w:tcPr>
          <w:p>
            <w:r>
              <w:t>0.975</w:t>
            </w:r>
          </w:p>
        </w:tc>
        <w:tc>
          <w:tcPr>
            <w:tcW w:type="dxa" w:w="1660"/>
          </w:tcPr>
          <w:p>
            <w:r>
              <w:t>0.942</w:t>
            </w:r>
          </w:p>
        </w:tc>
        <w:tc>
          <w:tcPr>
            <w:tcW w:type="dxa" w:w="1660"/>
          </w:tcPr>
          <w:p>
            <w:r>
              <w:t>0.931</w:t>
            </w:r>
          </w:p>
        </w:tc>
        <w:tc>
          <w:tcPr>
            <w:tcW w:type="dxa" w:w="1660"/>
          </w:tcPr>
          <w:p>
            <w:r>
              <w:t>1.7~3.0</w:t>
            </w:r>
          </w:p>
        </w:tc>
      </w:tr>
      <w:tr>
        <w:tc>
          <w:tcPr>
            <w:tcW w:type="dxa" w:w="1660"/>
          </w:tcPr>
          <w:p>
            <w:r>
              <w:t>(c) (b)+max_df=5000</w:t>
            </w:r>
          </w:p>
        </w:tc>
        <w:tc>
          <w:tcPr>
            <w:tcW w:type="dxa" w:w="1660"/>
          </w:tcPr>
          <w:p>
            <w:r>
              <w:t>0.973</w:t>
            </w:r>
          </w:p>
        </w:tc>
        <w:tc>
          <w:tcPr>
            <w:tcW w:type="dxa" w:w="1660"/>
          </w:tcPr>
          <w:p>
            <w:r>
              <w:t>0.940</w:t>
            </w:r>
          </w:p>
        </w:tc>
        <w:tc>
          <w:tcPr>
            <w:tcW w:type="dxa" w:w="1660"/>
          </w:tcPr>
          <w:p>
            <w:r>
              <w:t>0.929</w:t>
            </w:r>
          </w:p>
        </w:tc>
        <w:tc>
          <w:tcPr>
            <w:tcW w:type="dxa" w:w="1660"/>
          </w:tcPr>
          <w:p>
            <w:r>
              <w:t>~0.30</w:t>
            </w:r>
          </w:p>
        </w:tc>
      </w:tr>
      <w:tr>
        <w:tc>
          <w:tcPr>
            <w:tcW w:type="dxa" w:w="1660"/>
          </w:tcPr>
          <w:p>
            <w:r>
              <w:t>(d) (c)+max_terms=20+heapq</w:t>
            </w:r>
          </w:p>
        </w:tc>
        <w:tc>
          <w:tcPr>
            <w:tcW w:type="dxa" w:w="1660"/>
          </w:tcPr>
          <w:p>
            <w:r>
              <w:t>0.975</w:t>
            </w:r>
          </w:p>
        </w:tc>
        <w:tc>
          <w:tcPr>
            <w:tcW w:type="dxa" w:w="1660"/>
          </w:tcPr>
          <w:p>
            <w:r>
              <w:t>0.942</w:t>
            </w:r>
          </w:p>
        </w:tc>
        <w:tc>
          <w:tcPr>
            <w:tcW w:type="dxa" w:w="1660"/>
          </w:tcPr>
          <w:p>
            <w:r>
              <w:t>0.931</w:t>
            </w:r>
          </w:p>
        </w:tc>
        <w:tc>
          <w:tcPr>
            <w:tcW w:type="dxa" w:w="1660"/>
          </w:tcPr>
          <w:p>
            <w:r>
              <w:t>~0.15</w:t>
            </w:r>
          </w:p>
        </w:tc>
      </w:tr>
    </w:tbl>
    <w:p>
      <w:pPr>
        <w:spacing w:before="0" w:after="60" w:line="300" w:lineRule="auto"/>
      </w:pPr>
      <w:r>
        <w:rPr>
          <w:rFonts w:ascii="宋体" w:hAnsi="宋体" w:eastAsia="宋体"/>
          <w:b w:val="0"/>
          <w:sz w:val="8"/>
        </w:rPr>
      </w:r>
    </w:p>
    <w:p>
      <w:pPr>
        <w:spacing w:before="0" w:after="60" w:line="300" w:lineRule="auto"/>
        <w:ind w:firstLine="420"/>
      </w:pPr>
      <w:r>
        <w:rPr>
          <w:rFonts w:ascii="宋体" w:hAnsi="宋体" w:eastAsia="宋体"/>
          <w:b w:val="0"/>
          <w:sz w:val="21"/>
        </w:rPr>
        <w:t>从消融实验可以得出：(a) 标准BM25提供的基线性能约为R@10=0.900；(b) 加入段落分段后性能大幅提升（R@10 +7.5%），但单段检索速度极慢；(c) 加入max_df=5,000阈值过滤后，单段耗时从1.7-3.0秒骤降至约0.30秒（约8x加速），且R@10仅轻微下降0.002（在统计噪声范围内），说明被过滤的高频词对检索效果几乎无贡献；(d) 进一步加入max_terms=20限制和heapq排序优化后，单段耗时再降至约0.15秒（再2x加速），性能恢复至(b)的水平。综合来看，三重优化策略在几乎不损失检索精度的前提下，实现了约15-20倍的速度提升。需要指出的是，消融实验仅在200条查询上进行，样本量较小。但考虑到200条查询上的R@10与800条查询上的结果高度一致（0.900 vs 0.920），该消融结论在主实验的更大样本上应具有参考价值。</w:t>
      </w:r>
    </w:p>
    <w:p>
      <w:pPr>
        <w:pStyle w:val="Heading1"/>
      </w:pPr>
      <w:r>
        <w:rPr>
          <w:rFonts w:ascii="黑体" w:hAnsi="黑体" w:eastAsia="黑体"/>
        </w:rPr>
        <w:t>5 讨论（Discussion）</w:t>
      </w:r>
    </w:p>
    <w:p>
      <w:pPr>
        <w:pStyle w:val="Heading2"/>
      </w:pPr>
      <w:r>
        <w:rPr>
          <w:rFonts w:ascii="黑体" w:hAnsi="黑体" w:eastAsia="黑体"/>
        </w:rPr>
        <w:t>5.1 溯源图建模的范式意义</w:t>
      </w:r>
    </w:p>
    <w:p>
      <w:pPr>
        <w:spacing w:before="0" w:after="60" w:line="300" w:lineRule="auto"/>
        <w:ind w:firstLine="420"/>
      </w:pPr>
      <w:r>
        <w:rPr>
          <w:rFonts w:ascii="宋体" w:hAnsi="宋体" w:eastAsia="宋体"/>
          <w:b w:val="0"/>
          <w:sz w:val="21"/>
        </w:rPr>
        <w:t>本文工作与已有方法最本质的区别在于检索范式的转变：从"文档级查询"到"分段级溯源"。这一转变的核心理念是：在多源抄袭场景中，检索的任务不是找到"与查询最相似的文档"，而是重建"查询各部分分别来自哪里的溯源图"。传统的文档级检索（包括BM25和基于稠密向量的语义检索）将整个可疑文档压缩为一个查询向量或词袋表示，必然导致来自不同来源的信号在表示空间中相互干扰。本文的方法通过在表示之前先进行结构化分解，将多源溯源问题转化为多个独立的单源检索子问题，在保留BM25简洁性的同时实现了对多源结构的显式建模。</w:t>
      </w:r>
    </w:p>
    <w:p>
      <w:pPr>
        <w:pStyle w:val="Heading2"/>
      </w:pPr>
      <w:r>
        <w:rPr>
          <w:rFonts w:ascii="黑体" w:hAnsi="黑体" w:eastAsia="黑体"/>
        </w:rPr>
        <w:t>5.2 方法的适用性与局限性</w:t>
      </w:r>
    </w:p>
    <w:p>
      <w:pPr>
        <w:spacing w:before="0" w:after="60" w:line="300" w:lineRule="auto"/>
        <w:ind w:firstLine="420"/>
      </w:pPr>
      <w:r>
        <w:rPr>
          <w:rFonts w:ascii="宋体" w:hAnsi="宋体" w:eastAsia="宋体"/>
          <w:b w:val="0"/>
          <w:sz w:val="21"/>
        </w:rPr>
        <w:t>本文方法的核心假设是：可疑文档可以被有效地分割为与来源文档大致对应的语义段落。这一假设在学术文本场景下通常是成立的——学术文档具有清晰的章节-段落层次结构，且LLM在多源合成时往往以段落为粒度进行拼接。然而，在以下场景中该假设可能失效：(1) 来源内容较短（如仅抄袭一个句子或短语），不足以构成独立段落；(2) 多个来源在同一个段落内深度融合，难以通过段落边界进行分离；(3) 可疑文档本身缺乏清晰的段落结构（如诗歌、代码、对话文本等）。对于这些场景，可能需要引入更细粒度的语义分段策略（如基于主题模型或句向量聚类的非结构化分段）或结合稠密语义匹配作为互补方案。</w:t>
      </w:r>
    </w:p>
    <w:p>
      <w:pPr>
        <w:pStyle w:val="Heading2"/>
      </w:pPr>
      <w:r>
        <w:rPr>
          <w:rFonts w:ascii="黑体" w:hAnsi="黑体" w:eastAsia="黑体"/>
        </w:rPr>
        <w:t>5.3 与稠密检索方法的互补关系</w:t>
      </w:r>
    </w:p>
    <w:p>
      <w:pPr>
        <w:spacing w:before="0" w:after="60" w:line="300" w:lineRule="auto"/>
        <w:ind w:firstLine="420"/>
      </w:pPr>
      <w:r>
        <w:rPr>
          <w:rFonts w:ascii="宋体" w:hAnsi="宋体" w:eastAsia="宋体"/>
          <w:b w:val="0"/>
          <w:sz w:val="21"/>
        </w:rPr>
        <w:t>本文方法的R@10（0.970）虽然显著优于标准BM25（0.920），但仍略低于本项目中使用E5 Chunking稠密检索方法在相同数据上达到的0.983。这两种方法的优势互补：(1) 分段BM25通过查询侧结构化解决多源信号稀释问题，擅长词法匹配；(2) E5 Chunking通过文档侧切块和语义编码解决强改写/同义词替换问题，擅长语义泛化。两者的错误模式可能存在较低的耦合度——分段BM25的盲区集中在语义改写案例，而E5 Chunking的盲区集中在极端多源融合案例。因此，将两路方法的检索结果进行互补融合（而非常规的RRF融合）是一个值得探索的后续方向。</w:t>
      </w:r>
    </w:p>
    <w:p>
      <w:pPr>
        <w:pStyle w:val="Heading1"/>
      </w:pPr>
      <w:r>
        <w:rPr>
          <w:rFonts w:ascii="黑体" w:hAnsi="黑体" w:eastAsia="黑体"/>
        </w:rPr>
        <w:t>6 结论（Conclusion）</w:t>
      </w:r>
    </w:p>
    <w:p>
      <w:pPr>
        <w:spacing w:before="0" w:after="60" w:line="300" w:lineRule="auto"/>
        <w:ind w:firstLine="420"/>
      </w:pPr>
      <w:r>
        <w:rPr>
          <w:rFonts w:ascii="宋体" w:hAnsi="宋体" w:eastAsia="宋体"/>
          <w:b w:val="0"/>
          <w:sz w:val="21"/>
        </w:rPr>
        <w:t>本文针对生成式抄袭检测中的源检索任务，分析了传统文档级查询范式在多源合成场景下的信号稀释问题，并提出了一种基于查询分段溯源建模的检索方法。该方法通过三个核心步骤——段落级查询分段、独立分段检索和覆盖率加权源投票——将多源溯源问题分解为多个独立的单源检索子问题，并通过对各段结果的联合聚合重建完整的溯源图。实验结果表明，该方法在PAN26评测数据的两个独立样本上均一致且显著地优于标准BM25基线：R@10达到0.970级别，MRR达到0.909级别，相对提升幅度高达17%至21%。该方法实现轻量化（仅需numpy和Python标准库），无需GPU或预训练语言模型，易于在实际评测平台中部署和应用。</w:t>
      </w:r>
    </w:p>
    <w:p>
      <w:pPr>
        <w:spacing w:before="0" w:after="60" w:line="300" w:lineRule="auto"/>
        <w:ind w:firstLine="420"/>
      </w:pPr>
      <w:r>
        <w:rPr>
          <w:rFonts w:ascii="宋体" w:hAnsi="宋体" w:eastAsia="宋体"/>
          <w:b w:val="0"/>
          <w:sz w:val="21"/>
        </w:rPr>
        <w:t>未来工作方向包括：(1) 探索基于章节标题（如Introduction、Method、Results等）的语义分段策略以替代纯段落分段，进一步提升分段的语义准确性；(2) 引入稠密检索模型（如E5）增强对高度改写段落的语义匹配能力，并与本文的BM25分段方法形成互补融合；(3) 将分段检索产生的溯源图结构直接输入至文本对齐阶段，实现源检索与抄袭定位的紧密耦合，构建端到端的可解释溯源检测流水线；(4) 在PAN14跨域数据集上进行泛化性验证，评估方法在不同领域和不同年代文本上的迁移能力。</w:t>
      </w:r>
    </w:p>
    <w:p>
      <w:pPr>
        <w:pStyle w:val="Heading1"/>
      </w:pPr>
      <w:r>
        <w:rPr>
          <w:rFonts w:ascii="黑体" w:hAnsi="黑体" w:eastAsia="黑体"/>
        </w:rPr>
        <w:t>致  谢</w:t>
      </w:r>
    </w:p>
    <w:p>
      <w:pPr>
        <w:spacing w:before="0" w:after="60" w:line="300" w:lineRule="auto"/>
        <w:ind w:firstLine="420"/>
      </w:pPr>
      <w:r>
        <w:rPr>
          <w:rFonts w:ascii="宋体" w:hAnsi="宋体" w:eastAsia="宋体"/>
          <w:b w:val="0"/>
          <w:sz w:val="21"/>
        </w:rPr>
        <w:t>This work is supported by the National Social Science Foundation of China (24BYY080). 感谢PAN@CLEF评测组织者提供了评测数据集和TIRA评测平台，感谢匿名审稿人对本文初稿提出的宝贵修改意见。</w:t>
      </w:r>
    </w:p>
    <w:p>
      <w:pPr>
        <w:pStyle w:val="Heading1"/>
      </w:pPr>
      <w:r>
        <w:rPr>
          <w:rFonts w:ascii="黑体" w:hAnsi="黑体" w:eastAsia="黑体"/>
        </w:rPr>
        <w:t>参考文献（References）</w:t>
      </w:r>
    </w:p>
    <w:p>
      <w:pPr>
        <w:spacing w:before="0" w:after="20" w:line="300" w:lineRule="auto"/>
      </w:pPr>
      <w:r>
        <w:rPr>
          <w:rFonts w:ascii="宋体" w:hAnsi="宋体" w:eastAsia="宋体"/>
          <w:b w:val="0"/>
          <w:sz w:val="18"/>
        </w:rPr>
        <w:t>[1] Greiner-Petter A, Fröbe M, Wahle J P, et al. Overview of the Plagiarism Detection Task at PAN 2025[C]//Proceedings of the 16th International Conference of the CLEF Association (CLEF 2025). CEUR Workshop Proceedings, Vol. 4038, 2025: 3575-3585.</w:t>
      </w:r>
    </w:p>
    <w:p>
      <w:pPr>
        <w:spacing w:before="0" w:after="20" w:line="300" w:lineRule="auto"/>
      </w:pPr>
      <w:r>
        <w:rPr>
          <w:rFonts w:ascii="宋体" w:hAnsi="宋体" w:eastAsia="宋体"/>
          <w:b w:val="0"/>
          <w:sz w:val="18"/>
        </w:rPr>
        <w:t>[2] Bevendorff J, Dementieva D, Fröbe M, et al. Overview of PAN 2025: Generative AI Detection, Multilingual Text Detoxification, Multi-author Writing Style Analysis, and Generative Plagiarism Detection - Extended Abstract[C]//Proceedings of the 47th European Conference on Information Retrieval (ECIR 2025). Springer LNCS, Vol. 15576, 2025: 434-441.</w:t>
      </w:r>
    </w:p>
    <w:p>
      <w:pPr>
        <w:spacing w:before="0" w:after="20" w:line="300" w:lineRule="auto"/>
      </w:pPr>
      <w:r>
        <w:rPr>
          <w:rFonts w:ascii="宋体" w:hAnsi="宋体" w:eastAsia="宋体"/>
          <w:b w:val="0"/>
          <w:sz w:val="18"/>
        </w:rPr>
        <w:t>[3] Potthast M, Gollub T, Hagen M, et al. Overview of the 6th International Competition on Plagiarism Detection[C]//Working Notes of CLEF 2014. CEUR Workshop Proceedings, Vol. 1180, 2014: 975-997.</w:t>
      </w:r>
    </w:p>
    <w:p>
      <w:pPr>
        <w:spacing w:before="0" w:after="20" w:line="300" w:lineRule="auto"/>
      </w:pPr>
      <w:r>
        <w:rPr>
          <w:rFonts w:ascii="宋体" w:hAnsi="宋体" w:eastAsia="宋体"/>
          <w:b w:val="0"/>
          <w:sz w:val="18"/>
        </w:rPr>
        <w:t>[4] Stein B, Lipka N, Prettenhofer P. Intrinsic Plagiarism Analysis[J]. Language Resources and Evaluation, 2011, 45(1): 63-82.</w:t>
      </w:r>
    </w:p>
    <w:p>
      <w:pPr>
        <w:spacing w:before="0" w:after="20" w:line="300" w:lineRule="auto"/>
      </w:pPr>
      <w:r>
        <w:rPr>
          <w:rFonts w:ascii="宋体" w:hAnsi="宋体" w:eastAsia="宋体"/>
          <w:b w:val="0"/>
          <w:sz w:val="18"/>
        </w:rPr>
        <w:t>[5] Alzahrani S M, Salim N, Abraham A. Understanding Plagiarism Linguistic Patterns, Textual Features, and Detection Methods[J]. IEEE Transactions on Systems, Man, and Cybernetics, Part C, 2012, 42(2): 133-149.</w:t>
      </w:r>
    </w:p>
    <w:p>
      <w:pPr>
        <w:spacing w:before="0" w:after="20" w:line="300" w:lineRule="auto"/>
      </w:pPr>
      <w:r>
        <w:rPr>
          <w:rFonts w:ascii="宋体" w:hAnsi="宋体" w:eastAsia="宋体"/>
          <w:b w:val="0"/>
          <w:sz w:val="18"/>
        </w:rPr>
        <w:t>[6] Fröbe M, Bevendorff J, Gienapp L, et al. The Information Retrieval Experiment Platform (TIRA)[J]. ACM SIGIR Forum, 2023, 57(2): 1-10.</w:t>
      </w:r>
    </w:p>
    <w:p>
      <w:pPr>
        <w:spacing w:before="0" w:after="20" w:line="300" w:lineRule="auto"/>
      </w:pPr>
      <w:r>
        <w:rPr>
          <w:rFonts w:ascii="宋体" w:hAnsi="宋体" w:eastAsia="宋体"/>
          <w:b w:val="0"/>
          <w:sz w:val="18"/>
        </w:rPr>
        <w:t>[7] Potthast M, Hagen M, Beyer A, et al. Overview of the 6th International Competition on Plagiarism Detection[C]//CLEF 2014 Evaluation Labs and Workshop, Working Notes. CEUR-WS, 2014.</w:t>
      </w:r>
    </w:p>
    <w:p>
      <w:pPr>
        <w:spacing w:before="0" w:after="20" w:line="300" w:lineRule="auto"/>
      </w:pPr>
      <w:r>
        <w:rPr>
          <w:rFonts w:ascii="宋体" w:hAnsi="宋体" w:eastAsia="宋体"/>
          <w:b w:val="0"/>
          <w:sz w:val="18"/>
        </w:rPr>
        <w:t>[7] Robertson S, Zaragoza H. The Probabilistic Relevance Framework: BM25 and Beyond[J]. Foundations and Trends in Information Retrieval, 2009, 3(4): 333-389.</w:t>
      </w:r>
    </w:p>
    <w:p>
      <w:pPr>
        <w:spacing w:before="0" w:after="20" w:line="300" w:lineRule="auto"/>
      </w:pPr>
      <w:r>
        <w:rPr>
          <w:rFonts w:ascii="宋体" w:hAnsi="宋体" w:eastAsia="宋体"/>
          <w:b w:val="0"/>
          <w:sz w:val="18"/>
        </w:rPr>
        <w:t>[8] Reimers N, Gurevych I. Sentence-BERT: Sentence Embeddings using Siamese BERT-Networks[C]//Proceedings of the 2019 Conference on Empirical Methods in Natural Language Processing (EMNLP-IJCNLP). ACL, 2019: 3982-3992.</w:t>
      </w:r>
    </w:p>
    <w:p>
      <w:pPr>
        <w:spacing w:before="0" w:after="20" w:line="300" w:lineRule="auto"/>
      </w:pPr>
      <w:r>
        <w:rPr>
          <w:rFonts w:ascii="宋体" w:hAnsi="宋体" w:eastAsia="宋体"/>
          <w:b w:val="0"/>
          <w:sz w:val="18"/>
        </w:rPr>
        <w:t>[9] Wang L, Yang N, Huang X, et al. Text Embeddings by Weakly-Supervised Contrastive Pre-training[C]//Proceedings of the 2024 Conference on Empirical Methods in Natural Language Processing (EMNLP). ACL, 2024.</w:t>
      </w:r>
    </w:p>
    <w:p>
      <w:pPr>
        <w:spacing w:before="0" w:after="20" w:line="300" w:lineRule="auto"/>
      </w:pPr>
      <w:r>
        <w:rPr>
          <w:rFonts w:ascii="宋体" w:hAnsi="宋体" w:eastAsia="宋体"/>
          <w:b w:val="0"/>
          <w:sz w:val="18"/>
        </w:rPr>
        <w:t>[10] Karpukhin V, Oguz B, Min S, et al. Dense Passage Retrieval for Open-Domain Question Answering[C]//Proceedings of the 2020 Conference on Empirical Methods in Natural Language Processing (EMNLP). ACL, 2020: 6769-6781.</w:t>
      </w:r>
    </w:p>
    <w:p>
      <w:pPr>
        <w:spacing w:before="0" w:after="20" w:line="300" w:lineRule="auto"/>
      </w:pPr>
      <w:r>
        <w:rPr>
          <w:rFonts w:ascii="宋体" w:hAnsi="宋体" w:eastAsia="宋体"/>
          <w:b w:val="0"/>
          <w:sz w:val="18"/>
        </w:rPr>
        <w:t>[11] Min S, Zhong V, Zettlemoyer L, et al. Multi-hop Reading Comprehension through Question Decomposition and Rescoring[C]//Proceedings of the 57th Annual Meeting of the ACL. ACL, 2019: 6097-6109.</w:t>
      </w:r>
    </w:p>
    <w:p>
      <w:pPr>
        <w:spacing w:before="0" w:after="20" w:line="300" w:lineRule="auto"/>
      </w:pPr>
      <w:r>
        <w:rPr>
          <w:rFonts w:ascii="宋体" w:hAnsi="宋体" w:eastAsia="宋体"/>
          <w:b w:val="0"/>
          <w:sz w:val="18"/>
        </w:rPr>
        <w:t>[12] Cormack G V, Clarke C L A, Buettcher S. Reciprocal Rank Fusion Outperforms Condorcet and Individual Rank Learning Methods[C]//Proceedings of the 32nd International ACM SIGIR Conference on Research and Development in Information Retrieval. ACM, 2009: 758-759.</w:t>
      </w:r>
    </w:p>
    <w:p>
      <w:pPr>
        <w:spacing w:before="0" w:after="20" w:line="300" w:lineRule="auto"/>
      </w:pPr>
      <w:r>
        <w:rPr>
          <w:rFonts w:ascii="宋体" w:hAnsi="宋体" w:eastAsia="宋体"/>
          <w:b w:val="0"/>
          <w:sz w:val="18"/>
        </w:rPr>
        <w:t>[13] Nogueira R, Cho K. Passage Re-ranking with BERT[EB/OL]. arXiv preprint, arXiv:1901.04085, 2019.</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