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PAN@CLEF 2026生成式抄袭检测评测任务旨在从大规模源文档语料库中，为可疑文档检索其原始来源文档。该任务的核心挑战在于LLM生成的可疑文本通常融合了多个不同来源的内容，将整篇文档作为单一查询的传统检索范式会导致多源溯源信号被稀释。针对该问题，本文提出了一种基于查询分段溯源建模（Query-Chunk Provenance Modeling）的源检索方法，通过段落级查询分段、独立分段BM25检索和覆盖率加权源投票三个步骤显式构建溯源图（provenance graph）。在PAN25-to-PAN26转换开发数据的全量训练集、采样子集和holdout预留验证集上的实验表明，该方法在所有评估指标上均一致优于标准BM25基线：R@10达到0.970-0.995（基线0.883-0.980），MRR达到0.909-0.972（基线0.753-0.917），相对提升幅度为6%至21%。该方法仅依赖numpy，已提交至TIRA评测平台。</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spacing w:before="0" w:after="60" w:line="300" w:lineRule="auto"/>
      </w:pPr>
      <w:r>
        <w:rPr>
          <w:rFonts w:ascii="宋体" w:hAnsi="宋体" w:eastAsia="宋体"/>
          <w:b w:val="0"/>
          <w:sz w:val="18"/>
        </w:rPr>
        <w:t>数据来源说明：本文的实验数据来源于PAN 2025评测数据的PAN26格式转换版本。PAN 2026官方仅提供spot-check（4条查询，用于格式自检）和test（无公开qrels，用于正式提交）数据集。所有训练、采样验证和holdout验证均在PAN25转换数据上完成。</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[3]设立源检索子任务以来，参与者提出了多种方法。基于词法匹配的方法[3,7]通过词n-gram重叠、指纹（fingerprinting）或BM25等词频统计模型进行检索，在逐字抄袭和轻度改写场景下表现优异。基于语义匹配的方法则利用Sentence-BERT[8]、E5[9]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[10]。在开放域问答中，Karpukhin等人[10]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decomposition）技术[11]从相反的角度出发，将复杂查询拆分为子查询分别检索再合并结果，但主要面向多跳问答和比较类查询场景，应用于抄袭检测时需要对分段策略进行专门设计。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[12]和多阶段级联精排[13]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标准BM25[7]将整篇可疑文档q作为一个完整查询，基于倒排索引（inverted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图1展示了本文方法的总体流程。系统包含三个核心阶段：第一阶段【Paragraph Segmentation，虚线框标注】将输入的可疑文档按段落边界拆分为n个语义连贯的查询段(C₁, C₂, ..., C_n)；第二阶段（Independent Segment Retrieval）每个查询段Cᵢ独立执行BM25检索，产生各自的候选源文档排序列表；第三阶段【Coverage-Weighted Source Voting，虚线框标注】对各段的Top-50候选列表进行覆盖率加权投票聚合，输出最终的源文档排序。图中以虚线框重点标注的两个模块——段落分段和覆盖率加权投票——是本文的核心创新。</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Chunking[9-10]——使用E5-base-v2对源文档进行256-token切块编码，对BM25盲区查询以块级余弦相似度进行稠密语义补盲，采用Coverage-aware打分（0.5×top1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开发数据方法总览</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方法</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模型依赖</w:t>
            </w:r>
          </w:p>
        </w:tc>
        <w:tc>
          <w:tcPr>
            <w:tcW w:type="dxa" w:w="1186"/>
          </w:tcPr>
          <w:p>
            <w:r>
              <w:t>评估规模/来源</w:t>
            </w:r>
          </w:p>
        </w:tc>
      </w:tr>
      <w:tr>
        <w:tc>
          <w:tcPr>
            <w:tcW w:type="dxa" w:w="1186"/>
          </w:tcPr>
          <w:p>
            <w:r>
              <w:t>标准BM25</w:t>
            </w:r>
          </w:p>
        </w:tc>
        <w:tc>
          <w:tcPr>
            <w:tcW w:type="dxa" w:w="1186"/>
          </w:tcPr>
          <w:p>
            <w:r>
              <w:t>0.9196</w:t>
            </w:r>
          </w:p>
        </w:tc>
        <w:tc>
          <w:tcPr>
            <w:tcW w:type="dxa" w:w="1186"/>
          </w:tcPr>
          <w:p>
            <w:r>
              <w:t>0.9769</w:t>
            </w:r>
          </w:p>
        </w:tc>
        <w:tc>
          <w:tcPr>
            <w:tcW w:type="dxa" w:w="1186"/>
          </w:tcPr>
          <w:p>
            <w:r>
              <w:t>0.8184</w:t>
            </w:r>
          </w:p>
        </w:tc>
        <w:tc>
          <w:tcPr>
            <w:tcW w:type="dxa" w:w="1186"/>
          </w:tcPr>
          <w:p>
            <w:r>
              <w:t>0.7856</w:t>
            </w:r>
          </w:p>
        </w:tc>
        <w:tc>
          <w:tcPr>
            <w:tcW w:type="dxa" w:w="1186"/>
          </w:tcPr>
          <w:p>
            <w:r>
              <w:t>无（仅numpy）</w:t>
            </w:r>
          </w:p>
        </w:tc>
        <w:tc>
          <w:tcPr>
            <w:tcW w:type="dxa" w:w="1186"/>
          </w:tcPr>
          <w:p/>
        </w:tc>
      </w:tr>
      <w:tr>
        <w:tc>
          <w:tcPr>
            <w:tcW w:type="dxa" w:w="1186"/>
          </w:tcPr>
          <w:p>
            <w:r>
              <w:t>标准BM25 + Query Decomp</w:t>
            </w:r>
          </w:p>
        </w:tc>
        <w:tc>
          <w:tcPr>
            <w:tcW w:type="dxa" w:w="1186"/>
          </w:tcPr>
          <w:p>
            <w:r>
              <w:t>0.9317</w:t>
            </w:r>
          </w:p>
        </w:tc>
        <w:tc>
          <w:tcPr>
            <w:tcW w:type="dxa" w:w="1186"/>
          </w:tcPr>
          <w:p>
            <w:r>
              <w:t>0.9890</w:t>
            </w:r>
          </w:p>
        </w:tc>
        <w:tc>
          <w:tcPr>
            <w:tcW w:type="dxa" w:w="1186"/>
          </w:tcPr>
          <w:p>
            <w:r>
              <w:t>0.8274</w:t>
            </w:r>
          </w:p>
        </w:tc>
        <w:tc>
          <w:tcPr>
            <w:tcW w:type="dxa" w:w="1186"/>
          </w:tcPr>
          <w:p>
            <w:r>
              <w:t>0.7937</w:t>
            </w:r>
          </w:p>
        </w:tc>
        <w:tc>
          <w:tcPr>
            <w:tcW w:type="dxa" w:w="1186"/>
          </w:tcPr>
          <w:p>
            <w:r>
              <w:t>无（仅numpy）</w:t>
            </w:r>
          </w:p>
        </w:tc>
        <w:tc>
          <w:tcPr>
            <w:tcW w:type="dxa" w:w="1186"/>
          </w:tcPr>
          <w:p/>
        </w:tc>
      </w:tr>
      <w:tr>
        <w:tc>
          <w:tcPr>
            <w:tcW w:type="dxa" w:w="1186"/>
          </w:tcPr>
          <w:p>
            <w:r>
              <w:t>BM25 + E5 Chunking</w:t>
            </w:r>
          </w:p>
        </w:tc>
        <w:tc>
          <w:tcPr>
            <w:tcW w:type="dxa" w:w="1186"/>
          </w:tcPr>
          <w:p>
            <w:r>
              <w:t>0.9830</w:t>
            </w:r>
          </w:p>
        </w:tc>
        <w:tc>
          <w:tcPr>
            <w:tcW w:type="dxa" w:w="1186"/>
          </w:tcPr>
          <w:p>
            <w:r>
              <w:t>0.9917</w:t>
            </w:r>
          </w:p>
        </w:tc>
        <w:tc>
          <w:tcPr>
            <w:tcW w:type="dxa" w:w="1186"/>
          </w:tcPr>
          <w:p>
            <w:r>
              <w:t>0.8716</w:t>
            </w:r>
          </w:p>
        </w:tc>
        <w:tc>
          <w:tcPr>
            <w:tcW w:type="dxa" w:w="1186"/>
          </w:tcPr>
          <w:p>
            <w:r>
              <w:t>0.8355</w:t>
            </w:r>
          </w:p>
        </w:tc>
        <w:tc>
          <w:tcPr>
            <w:tcW w:type="dxa" w:w="1186"/>
          </w:tcPr>
          <w:p>
            <w:r>
              <w:t>E5-base-v2 (440MB)</w:t>
            </w:r>
          </w:p>
        </w:tc>
        <w:tc>
          <w:tcPr>
            <w:tcW w:type="dxa" w:w="1186"/>
          </w:tcPr>
          <w:p/>
        </w:tc>
      </w:tr>
      <w:tr>
        <w:tc>
          <w:tcPr>
            <w:tcW w:type="dxa" w:w="1186"/>
          </w:tcPr>
          <w:p>
            <w:r>
              <w:t>分段BM25（本文方法）</w:t>
            </w:r>
          </w:p>
        </w:tc>
        <w:tc>
          <w:tcPr>
            <w:tcW w:type="dxa" w:w="1186"/>
          </w:tcPr>
          <w:p>
            <w:r>
              <w:t>0.9700*</w:t>
            </w:r>
          </w:p>
        </w:tc>
        <w:tc>
          <w:tcPr>
            <w:tcW w:type="dxa" w:w="1186"/>
          </w:tcPr>
          <w:p>
            <w:r>
              <w:t>0.9912*</w:t>
            </w:r>
          </w:p>
        </w:tc>
        <w:tc>
          <w:tcPr>
            <w:tcW w:type="dxa" w:w="1186"/>
          </w:tcPr>
          <w:p>
            <w:r>
              <w:t>0.9242*</w:t>
            </w:r>
          </w:p>
        </w:tc>
        <w:tc>
          <w:tcPr>
            <w:tcW w:type="dxa" w:w="1186"/>
          </w:tcPr>
          <w:p>
            <w:r>
              <w:t>0.9092*</w:t>
            </w:r>
          </w:p>
        </w:tc>
        <w:tc>
          <w:tcPr>
            <w:tcW w:type="dxa" w:w="1186"/>
          </w:tcPr>
          <w:p>
            <w:r>
              <w:t>无（仅numpy）</w:t>
            </w:r>
          </w:p>
        </w:tc>
        <w:tc>
          <w:tcPr>
            <w:tcW w:type="dxa" w:w="1186"/>
          </w:tcP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0.9804</w:t>
            </w:r>
          </w:p>
        </w:tc>
        <w:tc>
          <w:tcPr>
            <w:tcW w:type="dxa" w:w="1660"/>
          </w:tcPr>
          <w:p>
            <w:r>
              <w:t>0.9947</w:t>
            </w:r>
          </w:p>
        </w:tc>
        <w:tc>
          <w:tcPr>
            <w:tcW w:type="dxa" w:w="1660"/>
          </w:tcPr>
          <w:p>
            <w:r>
              <w:t>+0.0143</w:t>
            </w:r>
          </w:p>
        </w:tc>
        <w:tc>
          <w:tcPr>
            <w:tcW w:type="dxa" w:w="1660"/>
          </w:tcPr>
          <w:p>
            <w:r>
              <w:t>+1.5%</w:t>
            </w:r>
          </w:p>
        </w:tc>
      </w:tr>
      <w:tr>
        <w:tc>
          <w:tcPr>
            <w:tcW w:type="dxa" w:w="1660"/>
          </w:tcPr>
          <w:p>
            <w:r>
              <w:t>R@100</w:t>
            </w:r>
          </w:p>
        </w:tc>
        <w:tc>
          <w:tcPr>
            <w:tcW w:type="dxa" w:w="1660"/>
          </w:tcPr>
          <w:p>
            <w:r>
              <w:t>0.9874</w:t>
            </w:r>
          </w:p>
        </w:tc>
        <w:tc>
          <w:tcPr>
            <w:tcW w:type="dxa" w:w="1660"/>
          </w:tcPr>
          <w:p>
            <w:r>
              <w:t>0.9969</w:t>
            </w:r>
          </w:p>
        </w:tc>
        <w:tc>
          <w:tcPr>
            <w:tcW w:type="dxa" w:w="1660"/>
          </w:tcPr>
          <w:p>
            <w:r>
              <w:t>+0.0095</w:t>
            </w:r>
          </w:p>
        </w:tc>
        <w:tc>
          <w:tcPr>
            <w:tcW w:type="dxa" w:w="1660"/>
          </w:tcPr>
          <w:p>
            <w:r>
              <w:t>+1.0%</w:t>
            </w:r>
          </w:p>
        </w:tc>
      </w:tr>
      <w:tr>
        <w:tc>
          <w:tcPr>
            <w:tcW w:type="dxa" w:w="1660"/>
          </w:tcPr>
          <w:p>
            <w:r>
              <w:t>nDCG@10</w:t>
            </w:r>
          </w:p>
        </w:tc>
        <w:tc>
          <w:tcPr>
            <w:tcW w:type="dxa" w:w="1660"/>
          </w:tcPr>
          <w:p>
            <w:r>
              <w:t>0.9323</w:t>
            </w:r>
          </w:p>
        </w:tc>
        <w:tc>
          <w:tcPr>
            <w:tcW w:type="dxa" w:w="1660"/>
          </w:tcPr>
          <w:p>
            <w:r>
              <w:t>0.9770*</w:t>
            </w:r>
          </w:p>
        </w:tc>
        <w:tc>
          <w:tcPr>
            <w:tcW w:type="dxa" w:w="1660"/>
          </w:tcPr>
          <w:p>
            <w:r>
              <w:t>--</w:t>
            </w:r>
          </w:p>
        </w:tc>
        <w:tc>
          <w:tcPr>
            <w:tcW w:type="dxa" w:w="1660"/>
          </w:tcPr>
          <w:p>
            <w:r>
              <w:t>--</w:t>
            </w:r>
          </w:p>
        </w:tc>
      </w:tr>
      <w:tr>
        <w:tc>
          <w:tcPr>
            <w:tcW w:type="dxa" w:w="1660"/>
          </w:tcPr>
          <w:p>
            <w:r>
              <w:t>MRR</w:t>
            </w:r>
          </w:p>
        </w:tc>
        <w:tc>
          <w:tcPr>
            <w:tcW w:type="dxa" w:w="1660"/>
          </w:tcPr>
          <w:p>
            <w:r>
              <w:t>0.9174</w:t>
            </w:r>
          </w:p>
        </w:tc>
        <w:tc>
          <w:tcPr>
            <w:tcW w:type="dxa" w:w="1660"/>
          </w:tcPr>
          <w:p>
            <w:r>
              <w:t>0.9724</w:t>
            </w:r>
          </w:p>
        </w:tc>
        <w:tc>
          <w:tcPr>
            <w:tcW w:type="dxa" w:w="1660"/>
          </w:tcPr>
          <w:p>
            <w:r>
              <w:t>+0.0550</w:t>
            </w:r>
          </w:p>
        </w:tc>
        <w:tc>
          <w:tcPr>
            <w:tcW w:type="dxa" w:w="1660"/>
          </w:tcPr>
          <w:p>
            <w:r>
              <w:t>+6.0%</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 5,522条查询, 7,949篇文档）上的独立评估结果，使用seg_compare.py脚本生成（命令：--corpus data/pan25_retrieval/holdout/corpus.jsonl --queries data/pan25_retrieval/holdout/queries.jsonl --qrels data/pan25_retrieval/holdout/qrels.txt），运行日期2026-05-24，评估器使用compute_metrics函数（支持多相关文档的统一指标计算）。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spacing w:before="0" w:after="60" w:line="300" w:lineRule="auto"/>
      </w:pPr>
      <w:r>
        <w:rPr>
          <w:rFonts w:ascii="宋体" w:hAnsi="宋体" w:eastAsia="宋体"/>
          <w:b/>
          <w:sz w:val="18"/>
        </w:rPr>
        <w:t>表5  预留验证集上的分段策略对比（holdout, 5,522条查询）</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分段策略</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分段率</w:t>
            </w:r>
          </w:p>
        </w:tc>
        <w:tc>
          <w:tcPr>
            <w:tcW w:type="dxa" w:w="1186"/>
          </w:tcPr>
          <w:p>
            <w:r>
              <w:t>耗时(s)</w:t>
            </w:r>
          </w:p>
        </w:tc>
      </w:tr>
      <w:tr>
        <w:tc>
          <w:tcPr>
            <w:tcW w:type="dxa" w:w="1186"/>
          </w:tcPr>
          <w:p>
            <w:r>
              <w:t>无分段（标准BM25）</w:t>
            </w:r>
          </w:p>
        </w:tc>
        <w:tc>
          <w:tcPr>
            <w:tcW w:type="dxa" w:w="1186"/>
          </w:tcPr>
          <w:p>
            <w:r>
              <w:t>0.9804</w:t>
            </w:r>
          </w:p>
        </w:tc>
        <w:tc>
          <w:tcPr>
            <w:tcW w:type="dxa" w:w="1186"/>
          </w:tcPr>
          <w:p>
            <w:r>
              <w:t>0.9874</w:t>
            </w:r>
          </w:p>
        </w:tc>
        <w:tc>
          <w:tcPr>
            <w:tcW w:type="dxa" w:w="1186"/>
          </w:tcPr>
          <w:p>
            <w:r>
              <w:t>0.9323</w:t>
            </w:r>
          </w:p>
        </w:tc>
        <w:tc>
          <w:tcPr>
            <w:tcW w:type="dxa" w:w="1186"/>
          </w:tcPr>
          <w:p>
            <w:r>
              <w:t>0.9174</w:t>
            </w:r>
          </w:p>
        </w:tc>
        <w:tc>
          <w:tcPr>
            <w:tcW w:type="dxa" w:w="1186"/>
          </w:tcPr>
          <w:p>
            <w:r>
              <w:t>-</w:t>
            </w:r>
          </w:p>
        </w:tc>
        <w:tc>
          <w:tcPr>
            <w:tcW w:type="dxa" w:w="1186"/>
          </w:tcPr>
          <w:p>
            <w:r>
              <w:t>33</w:t>
            </w:r>
          </w:p>
        </w:tc>
      </w:tr>
      <w:tr>
        <w:tc>
          <w:tcPr>
            <w:tcW w:type="dxa" w:w="1186"/>
          </w:tcPr>
          <w:p>
            <w:r>
              <w:t>段落分段（本文方法）</w:t>
            </w:r>
          </w:p>
        </w:tc>
        <w:tc>
          <w:tcPr>
            <w:tcW w:type="dxa" w:w="1186"/>
          </w:tcPr>
          <w:p>
            <w:r>
              <w:t>0.9947</w:t>
            </w:r>
          </w:p>
        </w:tc>
        <w:tc>
          <w:tcPr>
            <w:tcW w:type="dxa" w:w="1186"/>
          </w:tcPr>
          <w:p>
            <w:r>
              <w:t>0.9969</w:t>
            </w:r>
          </w:p>
        </w:tc>
        <w:tc>
          <w:tcPr>
            <w:tcW w:type="dxa" w:w="1186"/>
          </w:tcPr>
          <w:p>
            <w:r>
              <w:t>0.9770*</w:t>
            </w:r>
          </w:p>
        </w:tc>
        <w:tc>
          <w:tcPr>
            <w:tcW w:type="dxa" w:w="1186"/>
          </w:tcPr>
          <w:p>
            <w:r>
              <w:t>0.9724</w:t>
            </w:r>
          </w:p>
        </w:tc>
        <w:tc>
          <w:tcPr>
            <w:tcW w:type="dxa" w:w="1186"/>
          </w:tcPr>
          <w:p>
            <w:r>
              <w:t>99.9%</w:t>
            </w:r>
          </w:p>
        </w:tc>
        <w:tc>
          <w:tcPr>
            <w:tcW w:type="dxa" w:w="1186"/>
          </w:tcPr>
          <w:p>
            <w:r>
              <w:t>358</w:t>
            </w:r>
          </w:p>
        </w:tc>
      </w:tr>
      <w:tr>
        <w:tc>
          <w:tcPr>
            <w:tcW w:type="dxa" w:w="1186"/>
          </w:tcPr>
          <w:p>
            <w:r>
              <w:t>固定窗口分段</w:t>
            </w:r>
          </w:p>
        </w:tc>
        <w:tc>
          <w:tcPr>
            <w:tcW w:type="dxa" w:w="1186"/>
          </w:tcPr>
          <w:p>
            <w:r>
              <w:t>0.9933</w:t>
            </w:r>
          </w:p>
        </w:tc>
        <w:tc>
          <w:tcPr>
            <w:tcW w:type="dxa" w:w="1186"/>
          </w:tcPr>
          <w:p>
            <w:r>
              <w:t>0.9955</w:t>
            </w:r>
          </w:p>
        </w:tc>
        <w:tc>
          <w:tcPr>
            <w:tcW w:type="dxa" w:w="1186"/>
          </w:tcPr>
          <w:p>
            <w:r>
              <w:t>0.9740*</w:t>
            </w:r>
          </w:p>
        </w:tc>
        <w:tc>
          <w:tcPr>
            <w:tcW w:type="dxa" w:w="1186"/>
          </w:tcPr>
          <w:p>
            <w:r>
              <w:t>0.9705</w:t>
            </w:r>
          </w:p>
        </w:tc>
        <w:tc>
          <w:tcPr>
            <w:tcW w:type="dxa" w:w="1186"/>
          </w:tcPr>
          <w:p>
            <w:r>
              <w:t>99.9%</w:t>
            </w:r>
          </w:p>
        </w:tc>
        <w:tc>
          <w:tcPr>
            <w:tcW w:type="dxa" w:w="1186"/>
          </w:tcPr>
          <w:p>
            <w:r>
              <w:t>300</w:t>
            </w:r>
          </w:p>
        </w:tc>
      </w:tr>
      <w:tr>
        <w:tc>
          <w:tcPr>
            <w:tcW w:type="dxa" w:w="1186"/>
          </w:tcPr>
          <w:p>
            <w:r>
              <w:t>语义分段（章节标题）</w:t>
            </w:r>
          </w:p>
        </w:tc>
        <w:tc>
          <w:tcPr>
            <w:tcW w:type="dxa" w:w="1186"/>
          </w:tcPr>
          <w:p>
            <w:r>
              <w:t>0.9746</w:t>
            </w:r>
          </w:p>
        </w:tc>
        <w:tc>
          <w:tcPr>
            <w:tcW w:type="dxa" w:w="1186"/>
          </w:tcPr>
          <w:p>
            <w:r>
              <w:t>0.9828</w:t>
            </w:r>
          </w:p>
        </w:tc>
        <w:tc>
          <w:tcPr>
            <w:tcW w:type="dxa" w:w="1186"/>
          </w:tcPr>
          <w:p>
            <w:r>
              <w:t>0.9310*</w:t>
            </w:r>
          </w:p>
        </w:tc>
        <w:tc>
          <w:tcPr>
            <w:tcW w:type="dxa" w:w="1186"/>
          </w:tcPr>
          <w:p>
            <w:r>
              <w:t>0.9195</w:t>
            </w:r>
          </w:p>
        </w:tc>
        <w:tc>
          <w:tcPr>
            <w:tcW w:type="dxa" w:w="1186"/>
          </w:tcPr>
          <w:p>
            <w:r>
              <w:t>51.6%</w:t>
            </w:r>
          </w:p>
        </w:tc>
        <w:tc>
          <w:tcPr>
            <w:tcW w:type="dxa" w:w="1186"/>
          </w:tcPr>
          <w:p>
            <w:r>
              <w:t>49</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表5对比了四种分段策略在holdout验证集上的性能。段落分段策略在所有四项指标上均取得最优结果，固定窗口分段（fixed chunk）的性能接近但略低于段落分段，说明段落边界作为自然语义分隔符优于固定长度窗口。值得注意的是，基于章节标题的语义分段（semantic split）在R@10上反而低于标准BM25（0.9746 vs 0.9803），仅有51.6%的查询被分段——说明该数据集中大多数可疑文档并不包含明确的章节标题（如Introduction、Method等），语义分段策略在此场景下不适用。所有分段策略的run文件保存于data/run_holdout_{strategy}.txt，使用统一的评估脚本和指标计算。</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达到较高水平。分段方法的R@100在两个样本上分别达到0.991和0.991，说明源检索的召回率已达到较高水平。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表6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25-to-PAN26 开发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Hagen M, Beyer A, Busse M, Tippmann M, Rosso P, Stein B. Overview of the 6th International Competition on Plagiarism Detection[C]//Working Notes of CLEF 2014. CEUR Workshop Proceedings, Vol. 1180, 2014: 845-876.</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(TIRA)[C]//Proceedings of the 46th International ACM SIGIR Conference (SIGIR 2023). ACM, 2023: 3180-3190.</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