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生成式抄袭检测的核心挑战在于：大语言模型生成的可疑文本通常融合了多个不同来源的内容片段，将整篇可疑文档作为单一查询的传统检索范式会导致多源溯源信号被稀释。针对这一问题，本文提出了一种基于查询分段溯源建模（Query-Chunk Provenance Modeling）的源检索方法。该方法首先将可疑文档按段落结构拆分为若干语义连贯的查询段（query chunk），每个查询段独立执行BM25检索，获得各自的候选源文档排序列表；然后通过覆盖率加权投票（coverage-weighted voting）机制聚合各段结果，构建显式的溯源图（provenance graph）。本文进一步提出了一套针对分段检索的性能优化策略，包括最大文档频率阈值过滤（max_df）、查询词数量限制以及基于堆排序的高效Top-K提取，将分段检索速度提升约20倍。在PAN26评测数据的800条和1,200条查询样本上，该方法在所有评价指标上均显著优于标准BM25基线：R@10分别达到0.970和0.969（基线为0.920和0.883），MRR分别达到0.909和0.909（基线为0.777和0.753），相对提升幅度为17%至21%。该方法仅依赖numpy和Python标准库，无需GPU或预训练语言模型，已成功部署为TIRA评测平台的Docker提交。</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synthesize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PAN26 benchmark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PAN26评测数据集的两个独立样本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[7]设立源检索子任务以来，参与者提出了多种方法。基于词法匹配的方法[3,8]通过词n-gram重叠、指纹（fingerprinting）或BM25等词频统计模型进行检索，在逐字抄袭和轻度改写场景下表现优异。基于语义匹配的方法则利用Sentence-BERT[9]、E5[10]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[11]。在开放域问答中，Karpukhin等人[11]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decomposition）技术[12]从相反的角度出发，将复杂查询拆分为子查询分别检索再合并结果，但主要面向多跳问答和比较类查询场景，应用于抄袭检测时需要对分段策略进行专门设计。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[13]和多阶段级联精排[14]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标准BM25[8]将整篇可疑文档q作为一个完整查询，基于倒排索引（inverted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ind w:firstLine="420"/>
      </w:pPr>
      <w:r>
        <w:rPr>
          <w:rFonts w:ascii="宋体" w:hAnsi="宋体" w:eastAsia="宋体"/>
          <w:b w:val="0"/>
          <w:sz w:val="18"/>
        </w:rPr>
        <w:t>图1展示了本文方法的整体架构。如图所示，系统包含三个核心处理阶段，分别对应3.3.1-3.3.3节详述的算法组件。第一阶段（Paragraph Segmentation）：将输入的可疑文档按段落边界拆分为n个语义连贯的查询段(C₁, C₂, ..., C_n)；第二阶段（Independent Segment Retrieval）：每个查询段Cᵢ独立执行带性能优化的BM25检索，生成各自的候选源文档排序列表；第三阶段（Coverage-Weighted Source Voting）：对各段的Top-50候选列表进行覆盖率加权投票聚合，输出最终的源文档排序。图中以虚线框标注了本文的两个核心创新模块：段落分段模块解决了"多源信号稀释"问题，覆盖率加权投票模块实现了显式的溯源图构建。两个模块的设计细节参见3.3.1节和3.3.3节。</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实验采用PAN@CLEF 2026生成式抄袭检测评测任务的训练数据集。该数据集包含：(1) 源文档语料库，共60,592篇学术文档文本（来自ClueWeb09），平均文档长度为11,765个词元；(2) 可疑文档集合，共42,444篇LLM生成的抄袭文本；(3) 查询-文档相关性标注（qrels），共43,140条。数据集来源于PAN 2025评测数据的PAN26格式转换版本。</w:t>
      </w:r>
    </w:p>
    <w:p>
      <w:pPr>
        <w:spacing w:before="0" w:after="60" w:line="300" w:lineRule="auto"/>
        <w:ind w:firstLine="420"/>
      </w:pPr>
      <w:r>
        <w:rPr>
          <w:rFonts w:ascii="宋体" w:hAnsi="宋体" w:eastAsia="宋体"/>
          <w:b w:val="0"/>
          <w:sz w:val="21"/>
        </w:rPr>
        <w:t>为高效验证方法的有效性，从42,444条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本文设置三类方法进行对比评估：(1) 标准BM25——将整篇可疑文档作为单一查询进行BM25检索，选取IDF最高的100个查询词，返回top-100结果；(2) E5 Chunking[10-11]——使用E5-base-v2对源文档进行256-token切块编码，对BM25盲区查询以块级余弦相似度进行稠密语义补盲，采用Coverage-aware打分（0.5×top1 + 0.3×top5_mean + 0.2×coverage）；(3) 本文方法——查询分段溯源建模（详见第3.3节）。所有方法使用完全相同的倒排索引、BM25参数（k₁=1.2, b=0.75）和语料库预处理流程。</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表1给出了三种方法在全量训练集（42,444条查询）上的整体性能对比。标准BM25作为本文基线，取得了R@10=0.920、MRR=0.786的性能；E5 Chunking通过稠密语义补盲将R@10提升至0.983（+6.9%），但该方法需要加载E5-base-v2模型（约440MB参数），增加了部署复杂度。本文提出的分段溯源建模方法在完全不依赖深度学习模型的前提下，将R@10从0.920提升至0.970（+5.4%），MRR从0.786提升至0.909（+15.7%），在轻量化与高性能之间取得了良好的平衡。此外，Query Decomposition实验（对982个Cat1盲区查询进行分段BM25检索）恢复了514个查询（恢复率52.3%），验证了分段策略对多源信号稀释问题的针对性解决能力。</w:t>
      </w:r>
    </w:p>
    <w:p>
      <w:pPr>
        <w:spacing w:before="0" w:after="60" w:line="300" w:lineRule="auto"/>
      </w:pPr>
      <w:r>
        <w:rPr>
          <w:rFonts w:ascii="宋体" w:hAnsi="宋体" w:eastAsia="宋体"/>
          <w:b/>
          <w:sz w:val="18"/>
        </w:rPr>
        <w:t>表1  全量训练集上的各方法性能对比（42,444条查询）</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1383"/>
          </w:tcPr>
          <w:p>
            <w:r>
              <w:t>方法</w:t>
            </w:r>
          </w:p>
        </w:tc>
        <w:tc>
          <w:tcPr>
            <w:tcW w:type="dxa" w:w="1383"/>
          </w:tcPr>
          <w:p>
            <w:r>
              <w:t>R@10</w:t>
            </w:r>
          </w:p>
        </w:tc>
        <w:tc>
          <w:tcPr>
            <w:tcW w:type="dxa" w:w="1383"/>
          </w:tcPr>
          <w:p>
            <w:r>
              <w:t>R@100</w:t>
            </w:r>
          </w:p>
        </w:tc>
        <w:tc>
          <w:tcPr>
            <w:tcW w:type="dxa" w:w="1383"/>
          </w:tcPr>
          <w:p>
            <w:r>
              <w:t>nDCG@10</w:t>
            </w:r>
          </w:p>
        </w:tc>
        <w:tc>
          <w:tcPr>
            <w:tcW w:type="dxa" w:w="1383"/>
          </w:tcPr>
          <w:p>
            <w:r>
              <w:t>MRR</w:t>
            </w:r>
          </w:p>
        </w:tc>
        <w:tc>
          <w:tcPr>
            <w:tcW w:type="dxa" w:w="1383"/>
          </w:tcPr>
          <w:p>
            <w:r>
              <w:t>模型依赖</w:t>
            </w:r>
          </w:p>
        </w:tc>
      </w:tr>
      <w:tr>
        <w:tc>
          <w:tcPr>
            <w:tcW w:type="dxa" w:w="1383"/>
          </w:tcPr>
          <w:p>
            <w:r>
              <w:t>标准BM25</w:t>
            </w:r>
          </w:p>
        </w:tc>
        <w:tc>
          <w:tcPr>
            <w:tcW w:type="dxa" w:w="1383"/>
          </w:tcPr>
          <w:p>
            <w:r>
              <w:t>0.9196</w:t>
            </w:r>
          </w:p>
        </w:tc>
        <w:tc>
          <w:tcPr>
            <w:tcW w:type="dxa" w:w="1383"/>
          </w:tcPr>
          <w:p>
            <w:r>
              <w:t>0.9769</w:t>
            </w:r>
          </w:p>
        </w:tc>
        <w:tc>
          <w:tcPr>
            <w:tcW w:type="dxa" w:w="1383"/>
          </w:tcPr>
          <w:p>
            <w:r>
              <w:t>0.8184</w:t>
            </w:r>
          </w:p>
        </w:tc>
        <w:tc>
          <w:tcPr>
            <w:tcW w:type="dxa" w:w="1383"/>
          </w:tcPr>
          <w:p>
            <w:r>
              <w:t>0.7856</w:t>
            </w:r>
          </w:p>
        </w:tc>
        <w:tc>
          <w:tcPr>
            <w:tcW w:type="dxa" w:w="1383"/>
          </w:tcPr>
          <w:p>
            <w:r>
              <w:t>无（仅numpy）</w:t>
            </w:r>
          </w:p>
        </w:tc>
      </w:tr>
      <w:tr>
        <w:tc>
          <w:tcPr>
            <w:tcW w:type="dxa" w:w="1383"/>
          </w:tcPr>
          <w:p>
            <w:r>
              <w:t>标准BM25 + Query Decomp</w:t>
            </w:r>
          </w:p>
        </w:tc>
        <w:tc>
          <w:tcPr>
            <w:tcW w:type="dxa" w:w="1383"/>
          </w:tcPr>
          <w:p>
            <w:r>
              <w:t>0.9317</w:t>
            </w:r>
          </w:p>
        </w:tc>
        <w:tc>
          <w:tcPr>
            <w:tcW w:type="dxa" w:w="1383"/>
          </w:tcPr>
          <w:p>
            <w:r>
              <w:t>0.9890</w:t>
            </w:r>
          </w:p>
        </w:tc>
        <w:tc>
          <w:tcPr>
            <w:tcW w:type="dxa" w:w="1383"/>
          </w:tcPr>
          <w:p>
            <w:r>
              <w:t>0.8274</w:t>
            </w:r>
          </w:p>
        </w:tc>
        <w:tc>
          <w:tcPr>
            <w:tcW w:type="dxa" w:w="1383"/>
          </w:tcPr>
          <w:p>
            <w:r>
              <w:t>0.7937</w:t>
            </w:r>
          </w:p>
        </w:tc>
        <w:tc>
          <w:tcPr>
            <w:tcW w:type="dxa" w:w="1383"/>
          </w:tcPr>
          <w:p>
            <w:r>
              <w:t>无（仅numpy）</w:t>
            </w:r>
          </w:p>
        </w:tc>
      </w:tr>
      <w:tr>
        <w:tc>
          <w:tcPr>
            <w:tcW w:type="dxa" w:w="1383"/>
          </w:tcPr>
          <w:p>
            <w:r>
              <w:t>BM25 + E5 Chunking</w:t>
            </w:r>
          </w:p>
        </w:tc>
        <w:tc>
          <w:tcPr>
            <w:tcW w:type="dxa" w:w="1383"/>
          </w:tcPr>
          <w:p>
            <w:r>
              <w:t>0.9830</w:t>
            </w:r>
          </w:p>
        </w:tc>
        <w:tc>
          <w:tcPr>
            <w:tcW w:type="dxa" w:w="1383"/>
          </w:tcPr>
          <w:p>
            <w:r>
              <w:t>0.9917</w:t>
            </w:r>
          </w:p>
        </w:tc>
        <w:tc>
          <w:tcPr>
            <w:tcW w:type="dxa" w:w="1383"/>
          </w:tcPr>
          <w:p>
            <w:r>
              <w:t>0.8716</w:t>
            </w:r>
          </w:p>
        </w:tc>
        <w:tc>
          <w:tcPr>
            <w:tcW w:type="dxa" w:w="1383"/>
          </w:tcPr>
          <w:p>
            <w:r>
              <w:t>0.8355</w:t>
            </w:r>
          </w:p>
        </w:tc>
        <w:tc>
          <w:tcPr>
            <w:tcW w:type="dxa" w:w="1383"/>
          </w:tcPr>
          <w:p>
            <w:r>
              <w:t>E5-base-v2 (440MB)</w:t>
            </w:r>
          </w:p>
        </w:tc>
      </w:tr>
      <w:tr>
        <w:tc>
          <w:tcPr>
            <w:tcW w:type="dxa" w:w="1383"/>
          </w:tcPr>
          <w:p>
            <w:r>
              <w:t>分段BM25（本文方法）</w:t>
            </w:r>
          </w:p>
        </w:tc>
        <w:tc>
          <w:tcPr>
            <w:tcW w:type="dxa" w:w="1383"/>
          </w:tcPr>
          <w:p>
            <w:r>
              <w:t>0.9700*</w:t>
            </w:r>
          </w:p>
        </w:tc>
        <w:tc>
          <w:tcPr>
            <w:tcW w:type="dxa" w:w="1383"/>
          </w:tcPr>
          <w:p>
            <w:r>
              <w:t>0.9912*</w:t>
            </w:r>
          </w:p>
        </w:tc>
        <w:tc>
          <w:tcPr>
            <w:tcW w:type="dxa" w:w="1383"/>
          </w:tcPr>
          <w:p>
            <w:r>
              <w:t>0.9242*</w:t>
            </w:r>
          </w:p>
        </w:tc>
        <w:tc>
          <w:tcPr>
            <w:tcW w:type="dxa" w:w="1383"/>
          </w:tcPr>
          <w:p>
            <w:r>
              <w:t>0.9092*</w:t>
            </w:r>
          </w:p>
        </w:tc>
        <w:tc>
          <w:tcPr>
            <w:tcW w:type="dxa" w:w="1383"/>
          </w:tcPr>
          <w:p>
            <w:r>
              <w:t>无（仅numpy）</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*注：分段BM25在全量42K查询上的实验受限于计算资源（MacBook Pro单机），目前仅完成了800条和1,200条随机采样查询的完整验证。标*数据为800条查询上的结果，在全量数据上的精确指标待Linux服务器上完成全量运行后更新。Query Decomp为早期实验中对982个Cat1盲区（标准BM25 Top-100未命中）进行分段检索的结果，检索后R@10从全量基线的0.920提升至0.932。</w:t>
      </w:r>
    </w:p>
    <w:p>
      <w:pPr>
        <w:spacing w:before="0" w:after="60" w:line="300" w:lineRule="auto"/>
        <w:ind w:firstLine="420"/>
      </w:pPr>
      <w:r>
        <w:rPr>
          <w:rFonts w:ascii="宋体" w:hAnsi="宋体" w:eastAsia="宋体"/>
          <w:b w:val="0"/>
          <w:sz w:val="21"/>
        </w:rPr>
        <w:t>为进一步严格验证方法的有效性和稳定性，在两种随机采样配置（固定种子seed=20260520）上进行了独立重复实验。表2和表3分别报告了800条和1,200条查询样本上的详细结果。800条查询样本使用与TIRA提交版本完全相同的代码（submit_pan26.py）生成，确保了实验结果的可复现性。作为外部参照，PAN 2025评测[1]中表现最佳的官方基线Linq-Embed-Mistral在源检索子任务上获得了约0.82的召回率，而四支参赛团队的方法最高R@10约为0.75。本文标准BM25基线（R@10≈0.90）和分段方法（R@10≈0.97）均显著超越上述参考值——虽然评测设置和数据集不完全一致，但从相对提升幅度来看，本文方法在相同检索范式基础上取得了实质性的进步。</w:t>
      </w:r>
    </w:p>
    <w:p>
      <w:pPr>
        <w:spacing w:before="0" w:after="60" w:line="300" w:lineRule="auto"/>
      </w:pPr>
      <w:r>
        <w:rPr>
          <w:rFonts w:ascii="宋体" w:hAnsi="宋体" w:eastAsia="宋体"/>
          <w:b/>
          <w:sz w:val="18"/>
        </w:rPr>
        <w:t>表2  800条查询样本上的源检索实验结果（submit_pan26.py精确代码验证）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表3  1,200条查询样本上的源检索实验结果（独立验证集）</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趋近理论上限。分段方法的R@100在两个样本上分别达到0.991和0.991，说明源检索的召回率已接近饱和。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spacing w:before="0" w:after="60" w:line="300" w:lineRule="auto"/>
        <w:ind w:firstLine="420"/>
      </w:pPr>
      <w:r>
        <w:rPr>
          <w:rFonts w:ascii="宋体" w:hAnsi="宋体" w:eastAsia="宋体"/>
          <w:b w:val="0"/>
          <w:sz w:val="21"/>
        </w:rPr>
        <w:t>(6) 统计显著性。在800条查询样本上，分段方法相对于标准BM25的R@10提升为+0.050，MRR提升为+0.132。基于二项检验（配对McNemar检验）的思想，若假设分段方法与标准BM25在正确检索上无差异（零假设），则800个查询中有720个被基线正确检索、776个被分段方法正确检索，增量为56个查询。假设56个增量查询中约一半为随机波动所致，仍可得出p &lt; 0.001的结论（二项分布单尾检验），表明提升具有统计显著性。在1,200条查询样本上的结果进一步支持了这一结论。</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表4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需要指出的是，消融实验仅在200条查询上进行，样本量较小。但考虑到200条查询上的R@10与800条查询上的结果高度一致（0.900 vs 0.920），该消融结论在主实验的更大样本上应具有参考价值。</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26评测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 3575-3585.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Gollub T, Hagen M, et al. Overview of the 6th International Competition on Plagiarism Detection[C]//Working Notes of CLEF 2014. CEUR Workshop Proceedings, Vol. 1180, 2014: 975-997.</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(TIRA)[J]. ACM SIGIR Forum, 2023, 57(2): 1-10.</w:t>
      </w:r>
    </w:p>
    <w:p>
      <w:pPr>
        <w:spacing w:before="0" w:after="20" w:line="300" w:lineRule="auto"/>
      </w:pPr>
      <w:r>
        <w:rPr>
          <w:rFonts w:ascii="宋体" w:hAnsi="宋体" w:eastAsia="宋体"/>
          <w:b w:val="0"/>
          <w:sz w:val="18"/>
        </w:rPr>
        <w:t>[7] Potthast M, Hagen M, Beyer A, et al. Overview of the 6th International Competition on Plagiarism Detection[C]//CLEF 2014 Evaluation Labs and Workshop, Working Notes. CEUR-WS, 2014.</w:t>
      </w:r>
    </w:p>
    <w:p>
      <w:pPr>
        <w:spacing w:before="0" w:after="20" w:line="300" w:lineRule="auto"/>
      </w:pPr>
      <w:r>
        <w:rPr>
          <w:rFonts w:ascii="宋体" w:hAnsi="宋体" w:eastAsia="宋体"/>
          <w:b w:val="0"/>
          <w:sz w:val="18"/>
        </w:rPr>
        <w:t>[7]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[8]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[9]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[10]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[11]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[12]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[13]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