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2"/>
        </w:rPr>
        <w:t>ACTIVIDAD INTEGRADORA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B2545"/>
          <w:sz w:val="62"/>
        </w:rPr>
        <w:t>LectorPolar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Documento de entrega, evidencias y pruebas</w:t>
      </w:r>
    </w:p>
    <w:p>
      <w:pPr>
        <w:spacing w:after="680"/>
        <w:jc w:val="center"/>
      </w:pPr>
      <w:r>
        <w:rPr>
          <w:rFonts w:ascii="Calibri" w:hAnsi="Calibri"/>
          <w:b w:val="0"/>
          <w:i/>
          <w:color w:val="667085"/>
          <w:sz w:val="22"/>
        </w:rPr>
        <w:t>Biblioteca digital de mangas, cómics y novelas ligeras en PDF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Indicador</w:t>
            </w:r>
          </w:p>
        </w:tc>
        <w:tc>
          <w:tcPr>
            <w:tcW w:type="dxa" w:w="23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56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Catálogo</w:t>
            </w:r>
          </w:p>
        </w:tc>
        <w:tc>
          <w:tcPr>
            <w:tcW w:type="dxa" w:w="23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14 títulos</w:t>
            </w:r>
          </w:p>
        </w:tc>
        <w:tc>
          <w:tcPr>
            <w:tcW w:type="dxa" w:w="45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Biblioteca pública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Lecturas</w:t>
            </w:r>
          </w:p>
        </w:tc>
        <w:tc>
          <w:tcPr>
            <w:tcW w:type="dxa" w:w="23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94 disponibles</w:t>
            </w:r>
          </w:p>
        </w:tc>
        <w:tc>
          <w:tcPr>
            <w:tcW w:type="dxa" w:w="45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Manga y novela ligera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Lector</w:t>
            </w:r>
          </w:p>
        </w:tc>
        <w:tc>
          <w:tcPr>
            <w:tcW w:type="dxa" w:w="23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PDF.js + PageFlip</w:t>
            </w:r>
          </w:p>
        </w:tc>
        <w:tc>
          <w:tcPr>
            <w:tcW w:type="dxa" w:w="45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LTR, RTL y responsive</w:t>
            </w:r>
          </w:p>
        </w:tc>
      </w:tr>
    </w:tbl>
    <w:p>
      <w:pPr>
        <w:spacing w:after="40"/>
      </w:pPr>
    </w:p>
    <w:p>
      <w:pPr>
        <w:spacing w:before="520" w:after="80"/>
        <w:jc w:val="center"/>
      </w:pPr>
      <w:r>
        <w:rPr>
          <w:rFonts w:ascii="Calibri" w:hAnsi="Calibri"/>
          <w:b/>
          <w:i w:val="0"/>
          <w:color w:val="0B2545"/>
          <w:sz w:val="22"/>
        </w:rPr>
        <w:t>Equipo de desarrollo LectorPolar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1"/>
        </w:rPr>
        <w:t>22 de julio de 2026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LectorPolar es una aplicación web modular construida con HTML, CSS y JavaScript. Permite consultar una biblioteca pública, buscar títulos, revisar detalles, abrir PDFs en un lector responsivo con animación de cambio de hoja y administrar mangas y tomos conectados con Supabase.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La versión actual está operativa con 14 títulos y 94 lecturas visibles. Incluye 14 bloques de capítulos de Classroom of the Elite, 38 archivos de su novela ligera organizados en Año 1, Año 2 y Año 3, y 42 tomos de My Hero Academia. El catálogo incorpora portadas reales y las fichas de Jujutsu Kaisen y Oregairu.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Borders>
              <w:top w:val="single" w:sz="7" w:color="7A5A00"/>
              <w:left w:val="single" w:sz="7" w:color="7A5A00"/>
              <w:bottom w:val="single" w:sz="7" w:color="7A5A00"/>
              <w:right w:val="single" w:sz="7" w:color="7A5A00"/>
              <w:insideH w:val="single" w:sz="7" w:color="7A5A00"/>
              <w:insideV w:val="single" w:sz="7" w:color="7A5A0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Estado de Supabase: el proyecto remoto está conectado y operativo. Se verificaron las tablas del esquema public, los buckets covers y pdfs, el usuario admin@gmail.com y los registros de mangas y volúmenes.</w:t>
            </w:r>
            <w:r>
              <w:rPr>
                <w:rFonts w:ascii="Calibri" w:hAnsi="Calibri"/>
                <w:b w:val="0"/>
                <w:i w:val="0"/>
                <w:color w:val="202832"/>
                <w:sz w:val="22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Alcance solicitado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5858623"/>
            <wp:docPr id="1" name="Picture 1" descr="Figura 1. Lista de entregables proporcionada para la actividad." title="Figura 1. Lista de entregables proporcionada para la activ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requisitos-entreg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858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1. Lista de entregables proporcionada para la actividad.</w:t>
      </w:r>
    </w:p>
    <w:p>
      <w:pPr>
        <w:pStyle w:val="Heading2"/>
      </w:pPr>
      <w:r>
        <w:t>Mapa del documento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Matriz de cumplimiento y estado real de cada entregable.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Inventario y estructura del código fuente.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Evidencias de Supabase y pasos pendientes de despliegue.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Capturas de biblioteca, detalle, login, formularios y lector.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Documento de pruebas con resultados verificables.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Explicación de conexión, seguridad, validaciones y dificultades.</w:t>
      </w:r>
    </w:p>
    <w:p>
      <w:pPr>
        <w:pStyle w:val="Heading1"/>
        <w:keepNext/>
      </w:pPr>
      <w:r>
        <w:t>2. Matriz de entregables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50"/>
        <w:gridCol w:w="1750"/>
        <w:gridCol w:w="5060"/>
      </w:tblGrid>
      <w:tr>
        <w:trPr>
          <w:tblHeader w:val="true"/>
        </w:trPr>
        <w:tc>
          <w:tcPr>
            <w:tcW w:type="dxa" w:w="255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75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506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Código fuente completo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6 HTML, 29 JavaScript, 7 CSS y 5 SQL, además de los PDFs del catálogo.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Captura de tablas Supabase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Captura real del panel Database Tables con ocho tablas; incluye admins, mangas, volumes y chapter_marks.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Captura de buckets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Captura real de Storage con los buckets públicos covers y pdfs y sus políticas activas.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Usuario administrador Supabase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Captura real de Authentication con el usuario administrador admin@gmail.com.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Capturas de la aplicación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Biblioteca, detalle, login, formulario de manga, formulario de tomo y lector incluidos.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Documento de pruebas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Pruebas locales y verificaciones remotas documentadas como aprobadas.</w:t>
            </w:r>
          </w:p>
        </w:tc>
      </w:tr>
      <w:tr>
        <w:trPr/>
        <w:tc>
          <w:tcPr>
            <w:tcW w:type="dxa" w:w="25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Documento explicativo</w:t>
            </w:r>
          </w:p>
        </w:tc>
        <w:tc>
          <w:tcPr>
            <w:tcW w:type="dxa" w:w="17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Cumple</w:t>
            </w:r>
          </w:p>
        </w:tc>
        <w:tc>
          <w:tcPr>
            <w:tcW w:type="dxa" w:w="50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Incluye estructura, conexión, protección administrativa, validaciones y dificultades.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7" w:color="0B2545"/>
              <w:left w:val="single" w:sz="7" w:color="0B2545"/>
              <w:bottom w:val="single" w:sz="7" w:color="0B2545"/>
              <w:right w:val="single" w:sz="7" w:color="0B2545"/>
              <w:insideH w:val="single" w:sz="7" w:color="0B2545"/>
              <w:insideV w:val="single" w:sz="7" w:color="0B254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Criterio de verificación: el informe distingue la interfaz local de los recursos remotos y respalda el despliegue de Supabase con capturas tomadas directamente del proyecto conectado.</w:t>
            </w:r>
            <w:r>
              <w:rPr>
                <w:rFonts w:ascii="Calibri" w:hAnsi="Calibri"/>
                <w:b w:val="0"/>
                <w:i w:val="0"/>
                <w:color w:val="202832"/>
                <w:sz w:val="22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Código fuente y estructura del proyecto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El código está organizado por responsabilidades: páginas HTML, estilos reutilizables, servicios de datos, módulos de interfaz, lector PDF y scripts SQL. La separación facilita mantenimiento, pruebas y sustitución del respaldo local por Supabase cuando el backend quede desplegado.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6260"/>
      </w:tblGrid>
      <w:tr>
        <w:trPr>
          <w:tblHeader w:val="true"/>
        </w:trPr>
        <w:tc>
          <w:tcPr>
            <w:tcW w:type="dxa" w:w="19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12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Cantidad</w:t>
            </w:r>
          </w:p>
        </w:tc>
        <w:tc>
          <w:tcPr>
            <w:tcW w:type="dxa" w:w="626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</w:tr>
      <w:tr>
        <w:trPr/>
        <w:tc>
          <w:tcPr>
            <w:tcW w:type="dxa" w:w="19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HTML</w:t>
            </w:r>
          </w:p>
        </w:tc>
        <w:tc>
          <w:tcPr>
            <w:tcW w:type="dxa" w:w="12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6</w:t>
            </w:r>
          </w:p>
        </w:tc>
        <w:tc>
          <w:tcPr>
            <w:tcW w:type="dxa" w:w="6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Biblioteca, detalle, lector, administración, login y registro.</w:t>
            </w:r>
          </w:p>
        </w:tc>
      </w:tr>
      <w:tr>
        <w:trPr/>
        <w:tc>
          <w:tcPr>
            <w:tcW w:type="dxa" w:w="19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JavaScript</w:t>
            </w:r>
          </w:p>
        </w:tc>
        <w:tc>
          <w:tcPr>
            <w:tcW w:type="dxa" w:w="12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29</w:t>
            </w:r>
          </w:p>
        </w:tc>
        <w:tc>
          <w:tcPr>
            <w:tcW w:type="dxa" w:w="6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Servicios, autenticación, validaciones, interfaz y lector.</w:t>
            </w:r>
          </w:p>
        </w:tc>
      </w:tr>
      <w:tr>
        <w:trPr/>
        <w:tc>
          <w:tcPr>
            <w:tcW w:type="dxa" w:w="19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CSS</w:t>
            </w:r>
          </w:p>
        </w:tc>
        <w:tc>
          <w:tcPr>
            <w:tcW w:type="dxa" w:w="12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7</w:t>
            </w:r>
          </w:p>
        </w:tc>
        <w:tc>
          <w:tcPr>
            <w:tcW w:type="dxa" w:w="6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Diseño general, componentes, administración, lector y responsive.</w:t>
            </w:r>
          </w:p>
        </w:tc>
      </w:tr>
      <w:tr>
        <w:trPr/>
        <w:tc>
          <w:tcPr>
            <w:tcW w:type="dxa" w:w="19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SQL</w:t>
            </w:r>
          </w:p>
        </w:tc>
        <w:tc>
          <w:tcPr>
            <w:tcW w:type="dxa" w:w="12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5</w:t>
            </w:r>
          </w:p>
        </w:tc>
        <w:tc>
          <w:tcPr>
            <w:tcW w:type="dxa" w:w="6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Esquema, políticas, catálogo y datos iniciales.</w:t>
            </w:r>
          </w:p>
        </w:tc>
      </w:tr>
      <w:tr>
        <w:trPr/>
        <w:tc>
          <w:tcPr>
            <w:tcW w:type="dxa" w:w="19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PDF</w:t>
            </w:r>
          </w:p>
        </w:tc>
        <w:tc>
          <w:tcPr>
            <w:tcW w:type="dxa" w:w="12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106</w:t>
            </w:r>
          </w:p>
        </w:tc>
        <w:tc>
          <w:tcPr>
            <w:tcW w:type="dxa" w:w="6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94 lecturas activas más 12 PDFs demo heredados.</w:t>
            </w:r>
          </w:p>
        </w:tc>
      </w:tr>
    </w:tbl>
    <w:p>
      <w:pPr>
        <w:spacing w:after="40"/>
      </w:pPr>
    </w:p>
    <w:p>
      <w:pPr>
        <w:spacing w:before="80" w:after="160" w:line="240" w:lineRule="auto"/>
        <w:ind w:left="216" w:right="216"/>
        <w:shd w:fill="F2F4F7"/>
      </w:pPr>
      <w:r>
        <w:rPr>
          <w:rFonts w:ascii="Consolas" w:hAnsi="Consolas"/>
          <w:b w:val="0"/>
          <w:i w:val="0"/>
          <w:color w:val="202832"/>
          <w:sz w:val="17"/>
        </w:rPr>
        <w:t>LectorPolar/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index.html, manga.html, reader.html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login.html, register.html, admin.html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css/          estilos, componentes y responsive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js/           servicios, UI, autenticación y lector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supabase/     schema.sql, policies.sql, catalog.sql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output/pdf/   PDFs organizados por colección y año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|- docs/         auditoría, pruebas y documentación</w:t>
      </w:r>
    </w:p>
    <w:p>
      <w:pPr>
        <w:pStyle w:val="Heading2"/>
      </w:pPr>
      <w:r>
        <w:t>Flujo funcional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index.html carga listMangas(), mezcla Supabase con el catálogo local y dibuja las tarjetas.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manga.html recibe el identificador, carga metadatos y presenta tomos o secciones por año.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reader.html descarga el PDF, lo procesa con PDF.js y lo muestra mediante StPageFlip.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login.html crea una sesión autorizada; guards.js impide entrar al panel sin autorización.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admin.html coordina el CRUD remoto o la edición local de lecturas existentes.</w:t>
      </w:r>
    </w:p>
    <w:p>
      <w:r>
        <w:br w:type="page"/>
      </w:r>
    </w:p>
    <w:p>
      <w:pPr>
        <w:pStyle w:val="Heading1"/>
        <w:keepNext/>
      </w:pPr>
      <w:r>
        <w:t>4. Evidencias de Supabase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La aplicación apunta al proyecto yeqckipopvimhfuidwld.supabase.co mediante una clave pública. La clave service_role no se incluye en el frontend. El despliegue remoto contiene ocho tablas en el esquema public, trece registros en mangas, cuarenta y dos registros en volumes, dos buckets públicos y el usuario administrador solicitado.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850"/>
        <w:gridCol w:w="501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Comprobación pública</w:t>
            </w:r>
          </w:p>
        </w:tc>
        <w:tc>
          <w:tcPr>
            <w:tcW w:type="dxa" w:w="185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Respuesta</w:t>
            </w:r>
          </w:p>
        </w:tc>
        <w:tc>
          <w:tcPr>
            <w:tcW w:type="dxa" w:w="501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Interpretación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Database Tables</w:t>
            </w:r>
          </w:p>
        </w:tc>
        <w:tc>
          <w:tcPr>
            <w:tcW w:type="dxa" w:w="18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8 tablas</w:t>
            </w:r>
          </w:p>
        </w:tc>
        <w:tc>
          <w:tcPr>
            <w:tcW w:type="dxa" w:w="501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El esquema public está desplegado y visible en el panel.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Tabla mangas</w:t>
            </w:r>
          </w:p>
        </w:tc>
        <w:tc>
          <w:tcPr>
            <w:tcW w:type="dxa" w:w="18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13 filas</w:t>
            </w:r>
          </w:p>
        </w:tc>
        <w:tc>
          <w:tcPr>
            <w:tcW w:type="dxa" w:w="501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El catálogo remoto contiene los títulos registrados.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Tabla volumes</w:t>
            </w:r>
          </w:p>
        </w:tc>
        <w:tc>
          <w:tcPr>
            <w:tcW w:type="dxa" w:w="18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42 filas</w:t>
            </w:r>
          </w:p>
        </w:tc>
        <w:tc>
          <w:tcPr>
            <w:tcW w:type="dxa" w:w="501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Los tomos de My Hero Academia están persistidos en Supabase.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Storage</w:t>
            </w:r>
          </w:p>
        </w:tc>
        <w:tc>
          <w:tcPr>
            <w:tcW w:type="dxa" w:w="185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covers y pdfs</w:t>
            </w:r>
          </w:p>
        </w:tc>
        <w:tc>
          <w:tcPr>
            <w:tcW w:type="dxa" w:w="501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Los dos buckets son públicos y tienen políticas activas.</w:t>
            </w:r>
          </w:p>
        </w:tc>
      </w:tr>
    </w:tbl>
    <w:p>
      <w:pPr>
        <w:spacing w:after="40"/>
      </w:pP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 descr="Panel Database Tables de Supabase con las ocho tablas del esquema publ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-tablas-inferi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2. Database Tables del esquema public. Se observan ocho tablas, entre ellas admins, mangas, volumes y chapter_marks.</w:t>
      </w:r>
    </w:p>
    <w:p>
      <w:r>
        <w:br w:type="page"/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 descr="Panel Storage de Supabase con los buckets públicos covers y pdf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-buck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i/>
        </w:rPr>
        <w:t>Figura 3. Storage de Supabase con los buckets públicos covers y pdfs, límites de 10 MB y 800 MB y cuatro políticas en cada bucket.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 descr="Panel Authentication de Supabase con el usuario admin@gmail.c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-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i/>
        </w:rPr>
        <w:t>Figura 4. Authentication &gt; Users con el usuario administrador admin@gmail.com registrado mediante el proveedor Email.</w:t>
      </w:r>
    </w:p>
    <w:p>
      <w:pPr>
        <w:pStyle w:val="Heading2"/>
      </w:pPr>
      <w:r>
        <w:t>Scripts utilizados para el despliegue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schema.sql crea admins, mangas, volumes y chapter_marks, con relaciones y restricciones de unicidad.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policies.sql activa RLS, define is_admin(), RPC seguras y buckets covers/pdfs.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catalog.sql contiene registros iniciales de catálogo.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seed.example.sql registra el correo administrador inicial.</w:t>
      </w:r>
    </w:p>
    <w:p>
      <w:pPr>
        <w:spacing w:before="80" w:after="160" w:line="240" w:lineRule="auto"/>
        <w:ind w:left="216" w:right="216"/>
        <w:shd w:fill="F2F4F7"/>
      </w:pPr>
      <w:r>
        <w:rPr>
          <w:rFonts w:ascii="Consolas" w:hAnsi="Consolas"/>
          <w:b w:val="0"/>
          <w:i w:val="0"/>
          <w:color w:val="202832"/>
          <w:sz w:val="17"/>
        </w:rPr>
        <w:t>-- Orden de despliegue en SQL Editor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1. supabase/schema.sql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2. supabase/policies.sql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3. supabase/catalog.sql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4. supabase/seed.example.sql  -- opcional / ajustar correo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Borders>
              <w:top w:val="single" w:sz="7" w:color="9B1C1C"/>
              <w:left w:val="single" w:sz="7" w:color="9B1C1C"/>
              <w:bottom w:val="single" w:sz="7" w:color="9B1C1C"/>
              <w:right w:val="single" w:sz="7" w:color="9B1C1C"/>
              <w:insideH w:val="single" w:sz="7" w:color="9B1C1C"/>
              <w:insideV w:val="single" w:sz="7" w:color="9B1C1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Evidencias de Supabase completadas: este informe incluye las capturas de Database Tables, Storage y Authentication solicitadas en la actividad.</w:t>
            </w:r>
            <w:r>
              <w:rPr>
                <w:rFonts w:ascii="Calibri" w:hAnsi="Calibri"/>
                <w:b w:val="0"/>
                <w:i w:val="0"/>
                <w:color w:val="202832"/>
                <w:sz w:val="22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Evidencias de la aplicación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Las siguientes capturas fueron tomadas directamente de la ejecución local en http://127.0.0.1:8765.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77123"/>
            <wp:docPr id="3" name="Picture 3" descr="Figura 3. Biblioteca pública con 13 títulos, 52 lecturas y acceso a las colecciones." title="Figura 3. Biblioteca pública con 13 títulos, 52 lecturas y acceso a las colec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ibliote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7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5. Biblioteca pública de LectorPolar con 14 títulos, 94 lecturas y acceso a las colecciones.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77123"/>
            <wp:docPr id="4" name="Picture 4" descr="Figura 4. Detalle de Classroom of the Elite - Novela ligera, con 38 lecturas organizadas en tres años." title="Figura 4. Detalle de Classroom of the Elite - Novela ligera, con 38 lecturas organizadas en tres añ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lle-nove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7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6. Detalle de Classroom of the Elite - Novela ligera, con 38 lecturas organizadas en tres años.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77123"/>
            <wp:docPr id="5" name="Picture 5" descr="Figura 5. Inicio de sesión separado del registro de cuentas administrativas." title="Figura 5. Inicio de sesión separado del registro de cuentas administr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administr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7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7. Inicio de sesión separado del registro de cuentas administrativas.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77123"/>
            <wp:docPr id="6" name="Picture 6" descr="Figura 6. Panel administrativo y formulario de registro de manga." title="Figura 6. Panel administrativo y formulario de registro de mang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ulario-mang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7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8. Panel administrativo y formulario de registro de manga.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77123"/>
            <wp:docPr id="7" name="Picture 7" descr="Figura 7. Formulario de tomo con PDF y marcas de capítulo asociado a la novela ligera." title="Figura 7. Formulario de tomo con PDF y marcas de capítulo asociado a la novela lige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rmulario-to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7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9. Formulario de tomo con PDF y marcas de capítulo asociado a la novela ligera.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77615"/>
            <wp:docPr id="8" name="Picture 8" descr="Figura 8. Lector PDF real del Año 3, volumen 1, con 232 páginas, zoom y cambio de hoja." title="Figura 8. Lector PDF real del Año 3, volumen 1, con 232 páginas, zoom y cambio de ho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ector-pd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7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10. Lector PDF real del Año 3, volumen 1, con 232 páginas, zoom y cambio de hoja.</w:t>
      </w:r>
    </w:p>
    <w:p>
      <w:r>
        <w:br w:type="page"/>
      </w:r>
    </w:p>
    <w:p>
      <w:pPr>
        <w:pStyle w:val="Heading1"/>
        <w:keepNext/>
      </w:pPr>
      <w:r>
        <w:t>6. Documento de pruebas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Las pruebas se separan por alcance. Aprobado local significa que el resultado se observó en la aplicación ejecutada en http://127.0.0.1:8765. Aprobado remoto indica que el recurso se verificó directamente en el panel o la API de Supabase.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2600"/>
        <w:gridCol w:w="4100"/>
        <w:gridCol w:w="1860"/>
      </w:tblGrid>
      <w:tr>
        <w:trPr>
          <w:tblHeader w:val="true"/>
        </w:trPr>
        <w:tc>
          <w:tcPr>
            <w:tcW w:type="dxa" w:w="8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</w:t>
            </w:r>
          </w:p>
        </w:tc>
        <w:tc>
          <w:tcPr>
            <w:tcW w:type="dxa" w:w="26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41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observado</w:t>
            </w:r>
          </w:p>
        </w:tc>
        <w:tc>
          <w:tcPr>
            <w:tcW w:type="dxa" w:w="186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P01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Abrir biblioteca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14 tarjetas y conteo de 94 lecturas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P02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Abrir detalle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Novela ligera con 38 lecturas y tres años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P03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Cargar PDF real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Año 3, volumen 1 muestra / 232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P04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Página siguiente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El contador avanza 1 a 2 con animación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P05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Diseño responsive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Sin desbordamiento horizontal en vista estrecha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P06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Login inicial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admin@gmail.com abre el panel local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P07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Panel administrativo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Muestra 14 títulos y 94 tomos/lecturas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P08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Formulario manga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Campos, portada y sentido de lectura visibles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P09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Formulario tomo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Título, PDF y marcas vinculados al manga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P10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Validación JavaScript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Módulos principales pasan node --check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local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P11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Conexión REST mangas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HTTP 200 con 13 registros remotos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E8F5E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6B4F"/>
                <w:sz w:val="18"/>
              </w:rPr>
              <w:t>Aprobado remoto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P12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Tabla admins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Tabla admins desplegada con 1 registro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Aprobado remoto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P13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Buckets Storage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Buckets covers y pdfs visibles con políticas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Aprobado remoto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P14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CRUD persistente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Alta y actualización de mangas y portadas persistidas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Aprobado remoto</w:t>
            </w:r>
          </w:p>
        </w:tc>
      </w:tr>
      <w:tr>
        <w:trPr/>
        <w:tc>
          <w:tcPr>
            <w:tcW w:type="dxa" w:w="8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P15</w:t>
            </w:r>
          </w:p>
        </w:tc>
        <w:tc>
          <w:tcPr>
            <w:tcW w:type="dxa" w:w="26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Usuario Auth</w:t>
            </w:r>
          </w:p>
        </w:tc>
        <w:tc>
          <w:tcPr>
            <w:tcW w:type="dxa" w:w="4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admin@gmail.com visible en Authentication</w:t>
            </w:r>
          </w:p>
        </w:tc>
        <w:tc>
          <w:tcPr>
            <w:tcW w:type="dxa" w:w="1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Aprobado remoto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7" w:color="0B2545"/>
              <w:left w:val="single" w:sz="7" w:color="0B2545"/>
              <w:bottom w:val="single" w:sz="7" w:color="0B2545"/>
              <w:right w:val="single" w:sz="7" w:color="0B2545"/>
              <w:insideH w:val="single" w:sz="7" w:color="0B2545"/>
              <w:insideV w:val="single" w:sz="7" w:color="0B254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Balance: 10 pruebas locales y 5 verificaciones remotas aprobadas. El catálogo, la autenticación, las tablas y los buckets cuentan con evidencia verificable.</w:t>
            </w:r>
            <w:r>
              <w:rPr>
                <w:rFonts w:ascii="Calibri" w:hAnsi="Calibri"/>
                <w:b w:val="0"/>
                <w:i w:val="0"/>
                <w:color w:val="202832"/>
                <w:sz w:val="22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Conexión con Supabase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config.js define Project URL, anon public key, correos permitidos y nombres de buckets. supabase-client.js crea una sola instancia del SDK y conserva la sesión del usuario.</w:t>
      </w:r>
    </w:p>
    <w:p>
      <w:pPr>
        <w:spacing w:before="80" w:after="160" w:line="240" w:lineRule="auto"/>
        <w:ind w:left="216" w:right="216"/>
        <w:shd w:fill="F2F4F7"/>
      </w:pPr>
      <w:r>
        <w:rPr>
          <w:rFonts w:ascii="Consolas" w:hAnsi="Consolas"/>
          <w:b w:val="0"/>
          <w:i w:val="0"/>
          <w:color w:val="202832"/>
          <w:sz w:val="17"/>
        </w:rPr>
        <w:t>client = window.supabase.createClient(config.url, config.anonKey, {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 xml:space="preserve">  auth: {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 xml:space="preserve">    persistSession: true,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 xml:space="preserve">    autoRefreshToken: true,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 xml:space="preserve">    detectSessionInUrl: true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 xml:space="preserve">  }</w:t>
      </w:r>
      <w:r>
        <w:br/>
      </w:r>
      <w:r>
        <w:rPr>
          <w:rFonts w:ascii="Consolas" w:hAnsi="Consolas"/>
          <w:b w:val="0"/>
          <w:i w:val="0"/>
          <w:color w:val="202832"/>
          <w:sz w:val="17"/>
        </w:rPr>
        <w:t>});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Los servicios manga-service.js, volume-service.js, chapter-service.js y storage-service.js encapsulan consultas, inserciones, actualizaciones, eliminación y transferencia de archivos. La interfaz no escribe directamente en las tablas.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Para PDFs mayores de 45 MB, storage-service.js divide el archivo en partes de 20 MB. El lector descarga las partes en orden y reconstruye un Uint8Array antes de enviarlo a PDF.js.</w:t>
      </w:r>
    </w:p>
    <w:p>
      <w:pPr>
        <w:pStyle w:val="Heading1"/>
        <w:keepNext/>
      </w:pPr>
      <w:r>
        <w:t>8. Protección de operaciones administrativas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guards.js exige una sesión y verifica que el correo pertenezca a admins antes de permitir admin.html.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RLS permite SELECT público, pero INSERT, UPDATE y DELETE requieren public.is_admin().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public.is_admin() compara el correo del JWT con public.admins.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register_admin_email() usa security definer y exige el código de invitación.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La anon key es pública; la service_role nunca se coloca en el navegador.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En modo local, las escrituras remotas quedan deshabilitadas y las ediciones de PDFs locales se guardan en IndexedDB.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Borders>
              <w:top w:val="single" w:sz="7" w:color="7A5A00"/>
              <w:left w:val="single" w:sz="7" w:color="7A5A00"/>
              <w:bottom w:val="single" w:sz="7" w:color="7A5A00"/>
              <w:right w:val="single" w:sz="7" w:color="7A5A00"/>
              <w:insideH w:val="single" w:sz="7" w:color="7A5A00"/>
              <w:insideV w:val="single" w:sz="7" w:color="7A5A0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Importante: admin@gmail.com / admin123 es la credencial inicial de revisión académica. Debe cambiarse antes de publicar la aplicación en un entorno abierto.</w:t>
            </w:r>
            <w:r>
              <w:rPr>
                <w:rFonts w:ascii="Calibri" w:hAnsi="Calibri"/>
                <w:b w:val="0"/>
                <w:i w:val="0"/>
                <w:color w:val="202832"/>
                <w:sz w:val="22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Validaciones implementadas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86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 aplicada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Campos obligatorios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Título de manga, autor, título de tomo, correo y contraseña.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Correo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Formato usuario@dominio y normalización a minúsculas.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Contraseña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Mínimo de 8 caracteres y confirmación coincidente.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Portada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Debe ser imagen; máximo 10 MB.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PDF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MIME o extensión PDF; máximo 800 MB.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Duplicados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Título normalizado y nombre de PDF únicos por manga.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Marcas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Capítulo y página enteros mayores que cero.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Unicidad de marcas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No se repiten capítulos ni páginas iniciales.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Asociación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No se agrega tomo sin seleccionar el manga correcto.</w:t>
            </w:r>
          </w:p>
        </w:tc>
      </w:tr>
      <w:tr>
        <w:trPr/>
        <w:tc>
          <w:tcPr>
            <w:tcW w:type="dxa" w:w="25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Servidor</w:t>
            </w:r>
          </w:p>
        </w:tc>
        <w:tc>
          <w:tcPr>
            <w:tcW w:type="dxa" w:w="68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Constraints SQL y RPC transaccional duplican las validaciones críticas.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Dificultades encontradas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Dificultad</w:t>
            </w:r>
          </w:p>
        </w:tc>
        <w:tc>
          <w:tcPr>
            <w:tcW w:type="dxa" w:w="300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Causa</w:t>
            </w:r>
          </w:p>
        </w:tc>
        <w:tc>
          <w:tcPr>
            <w:tcW w:type="dxa" w:w="4260"/>
            <w:shd w:fill="E8EEF5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Solución</w:t>
            </w:r>
          </w:p>
        </w:tc>
      </w:tr>
      <w:tr>
        <w:trPr/>
        <w:tc>
          <w:tcPr>
            <w:tcW w:type="dxa" w:w="2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Despliegue inicial de Supabase</w:t>
            </w:r>
          </w:p>
        </w:tc>
        <w:tc>
          <w:tcPr>
            <w:tcW w:type="dxa" w:w="30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El esquema, las políticas, los buckets y el usuario debían configurarse en el proyecto remoto.</w:t>
            </w:r>
          </w:p>
        </w:tc>
        <w:tc>
          <w:tcPr>
            <w:tcW w:type="dxa" w:w="4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Se ejecutaron los SQL, se registró el administrador y se verificó el resultado con capturas del panel.</w:t>
            </w:r>
          </w:p>
        </w:tc>
      </w:tr>
      <w:tr>
        <w:trPr/>
        <w:tc>
          <w:tcPr>
            <w:tcW w:type="dxa" w:w="2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PDFs grandes</w:t>
            </w:r>
          </w:p>
        </w:tc>
        <w:tc>
          <w:tcPr>
            <w:tcW w:type="dxa" w:w="30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Archivos de 45 a 60 MB son sensibles a límites y timeouts.</w:t>
            </w:r>
          </w:p>
        </w:tc>
        <w:tc>
          <w:tcPr>
            <w:tcW w:type="dxa" w:w="4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Subida por chunks de 20 MB y reconstrucción ordenada.</w:t>
            </w:r>
          </w:p>
        </w:tc>
      </w:tr>
      <w:tr>
        <w:trPr/>
        <w:tc>
          <w:tcPr>
            <w:tcW w:type="dxa" w:w="2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Render concurrente</w:t>
            </w:r>
          </w:p>
        </w:tc>
        <w:tc>
          <w:tcPr>
            <w:tcW w:type="dxa" w:w="30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PDF.js puede cancelar tareas sobre el mismo canvas.</w:t>
            </w:r>
          </w:p>
        </w:tc>
        <w:tc>
          <w:tcPr>
            <w:tcW w:type="dxa" w:w="4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Cola de promesas, caché y generación de render.</w:t>
            </w:r>
          </w:p>
        </w:tc>
      </w:tr>
      <w:tr>
        <w:trPr/>
        <w:tc>
          <w:tcPr>
            <w:tcW w:type="dxa" w:w="2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Sincronización PageFlip</w:t>
            </w:r>
          </w:p>
        </w:tc>
        <w:tc>
          <w:tcPr>
            <w:tcW w:type="dxa" w:w="30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El contador podía saltar una página en RTL.</w:t>
            </w:r>
          </w:p>
        </w:tc>
        <w:tc>
          <w:tcPr>
            <w:tcW w:type="dxa" w:w="4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Página lógica pendiente hasta finalizar la animación.</w:t>
            </w:r>
          </w:p>
        </w:tc>
      </w:tr>
      <w:tr>
        <w:trPr/>
        <w:tc>
          <w:tcPr>
            <w:tcW w:type="dxa" w:w="2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Diseño responsivo</w:t>
            </w:r>
          </w:p>
        </w:tc>
        <w:tc>
          <w:tcPr>
            <w:tcW w:type="dxa" w:w="30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El libro podía cortarse en pantallas estrechas.</w:t>
            </w:r>
          </w:p>
        </w:tc>
        <w:tc>
          <w:tcPr>
            <w:tcW w:type="dxa" w:w="4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Cálculo por ancho y altura, reconstrucción al redimensionar y modo retrato.</w:t>
            </w:r>
          </w:p>
        </w:tc>
      </w:tr>
      <w:tr>
        <w:trPr/>
        <w:tc>
          <w:tcPr>
            <w:tcW w:type="dxa" w:w="21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Nombres de novelas</w:t>
            </w:r>
          </w:p>
        </w:tc>
        <w:tc>
          <w:tcPr>
            <w:tcW w:type="dxa" w:w="300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Los nombres descargados no siempre coincidían con el volumen interno.</w:t>
            </w:r>
          </w:p>
        </w:tc>
        <w:tc>
          <w:tcPr>
            <w:tcW w:type="dxa" w:w="4260"/>
            <w:tcBorders>
              <w:top w:val="single" w:sz="5" w:color="C7D0DB"/>
              <w:left w:val="single" w:sz="5" w:color="C7D0DB"/>
              <w:bottom w:val="single" w:sz="5" w:color="C7D0DB"/>
              <w:right w:val="single" w:sz="5" w:color="C7D0DB"/>
              <w:insideH w:val="single" w:sz="5" w:color="C7D0DB"/>
              <w:insideV w:val="single" w:sz="5" w:color="C7D0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832"/>
                <w:sz w:val="18"/>
              </w:rPr>
              <w:t>Clasificación por contenido y manifiesto por Año 1, Año 2 y Año 3.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Estado final del despliegue remoto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Proyecto de Supabase conectado: yeqckipopvimhfuidwld.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Ocho tablas visibles en el esquema public.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Trece mangas y cuarenta y dos volúmenes persistidos en la base de datos.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Buckets públicos covers y pdfs creados con políticas activas.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Usuario administrador admin@gmail.com registrado en Authentication.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Portadas del catálogo almacenadas en covers y enlazadas desde mangas.cover_path.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Aplicación conectada mediante la Project URL y la clave pública.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832"/>
          <w:sz w:val="22"/>
        </w:rPr>
        <w:t>Cambio de la contraseña inicial recomendado antes de publicar.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5EF"/>
            <w:tcBorders>
              <w:top w:val="single" w:sz="7" w:color="1F6B4F"/>
              <w:left w:val="single" w:sz="7" w:color="1F6B4F"/>
              <w:bottom w:val="single" w:sz="7" w:color="1F6B4F"/>
              <w:right w:val="single" w:sz="7" w:color="1F6B4F"/>
              <w:insideH w:val="single" w:sz="7" w:color="1F6B4F"/>
              <w:insideV w:val="single" w:sz="7" w:color="1F6B4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6B4F"/>
                <w:sz w:val="22"/>
              </w:rPr>
              <w:t>Resultado actual: el catálogo combina los recursos locales con la persistencia remota; las operaciones administrativas quedan protegidas por autenticación y políticas RLS.</w:t>
            </w:r>
            <w:r>
              <w:rPr>
                <w:rFonts w:ascii="Calibri" w:hAnsi="Calibri"/>
                <w:b w:val="0"/>
                <w:i w:val="0"/>
                <w:color w:val="202832"/>
                <w:sz w:val="22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Conclusión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LectorPolar cumple con la biblioteca, el catálogo responsivo, el carrusel de inicio, las fichas de manga, la autenticación separada, la administración de contenido y el lector PDF 3D. La organización modular, las validaciones y el respaldo local permiten que la aplicación siga funcionando de forma controlada.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832"/>
          <w:sz w:val="22"/>
        </w:rPr>
        <w:t>El despliegue de Supabase quedó completado y documentado: tablas, registros, buckets y usuario administrador aparecen en las capturas incluidas. Con esto se cubren las evidencias remotas solicitadas para la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800"/>
      <w:gridCol w:w="2560"/>
    </w:tblGrid>
    <w:tr>
      <w:trPr>
        <w:tblHeader w:val="true"/>
      </w:trPr>
      <w:tc>
        <w:tcPr>
          <w:tcW w:type="dxa" w:w="680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/>
              <w:b w:val="0"/>
              <w:i w:val="0"/>
              <w:color w:val="667085"/>
              <w:sz w:val="17"/>
            </w:rPr>
            <w:t>Actividad integradora - 22 de julio de 2026</w:t>
          </w:r>
        </w:p>
      </w:tc>
      <w:tc>
        <w:tcPr>
          <w:tcW w:type="dxa" w:w="256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7"/>
            </w:rPr>
            <w:t xml:space="preserve">Página </w:t>
          </w:r>
          <w:r>
            <w:rPr>
              <w:rFonts w:ascii="Calibri" w:hAnsi="Calibri"/>
              <w:b w:val="0"/>
              <w:i w:val="0"/>
              <w:color w:val="66708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LECTORPOLAR  |  DOCUMENTO DE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8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MangaReadV1 - Documento de entrega, evidencias y pruebas</dc:title>
  <dc:subject>Actividad integradora MangaReadV1</dc:subject>
  <dc:creator>Equipo de desarrollo MangaReadV1</dc:creator>
  <cp:keywords>MangaReadV1, Supabase, PDF.js, PageFlip, evidencias, pruebas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