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FE2B" w14:textId="513DDDD6" w:rsidR="00B454B7" w:rsidRPr="00DA54FE" w:rsidRDefault="00444113" w:rsidP="00722BDD">
      <w:pPr>
        <w:pStyle w:val="PaperTitle"/>
      </w:pPr>
      <w:bookmarkStart w:id="0" w:name="_Toc77803073"/>
      <w:r>
        <w:t>Microsoft Acquisition Risk Analysis</w:t>
      </w:r>
      <w:bookmarkEnd w:id="0"/>
    </w:p>
    <w:p w14:paraId="59F07968" w14:textId="29408EF4" w:rsidR="00D61717" w:rsidRPr="00DA54FE" w:rsidRDefault="00CD6A76" w:rsidP="00722BDD">
      <w:pPr>
        <w:pStyle w:val="Heading1"/>
      </w:pPr>
      <w:bookmarkStart w:id="1" w:name="bkAuthor"/>
      <w:bookmarkStart w:id="2" w:name="_Toc77802939"/>
      <w:bookmarkStart w:id="3" w:name="_Toc77803074"/>
      <w:bookmarkEnd w:id="1"/>
      <w:r>
        <w:t>Abraham Cain</w:t>
      </w:r>
      <w:bookmarkEnd w:id="2"/>
      <w:bookmarkEnd w:id="3"/>
    </w:p>
    <w:p w14:paraId="796E770D" w14:textId="50DDD65B" w:rsidR="00D61717" w:rsidRPr="00DA54FE" w:rsidRDefault="00CD6A76" w:rsidP="00722BDD">
      <w:pPr>
        <w:pStyle w:val="Heading1"/>
      </w:pPr>
      <w:bookmarkStart w:id="4" w:name="_Toc77802940"/>
      <w:bookmarkStart w:id="5" w:name="_Toc77803075"/>
      <w:r>
        <w:t>July 18, 2021</w:t>
      </w:r>
      <w:bookmarkEnd w:id="4"/>
      <w:bookmarkEnd w:id="5"/>
    </w:p>
    <w:p w14:paraId="1DDA199F" w14:textId="77777777" w:rsidR="00AD7CDF" w:rsidRDefault="00AD7CDF" w:rsidP="00722BDD">
      <w:pPr>
        <w:spacing w:line="480" w:lineRule="auto"/>
        <w:ind w:firstLine="720"/>
        <w:jc w:val="center"/>
      </w:pPr>
    </w:p>
    <w:p w14:paraId="5315B1D1" w14:textId="77777777" w:rsidR="002B74AC" w:rsidRDefault="002B74AC" w:rsidP="00722BDD">
      <w:pPr>
        <w:spacing w:line="480" w:lineRule="auto"/>
        <w:ind w:firstLine="720"/>
        <w:jc w:val="center"/>
      </w:pPr>
    </w:p>
    <w:p w14:paraId="02537C97" w14:textId="77777777" w:rsidR="002B74AC" w:rsidRDefault="002B74AC" w:rsidP="00722BDD">
      <w:pPr>
        <w:spacing w:line="480" w:lineRule="auto"/>
        <w:ind w:firstLine="720"/>
        <w:jc w:val="center"/>
        <w:sectPr w:rsidR="002B74AC" w:rsidSect="00AD7CDF">
          <w:headerReference w:type="default" r:id="rId8"/>
          <w:footerReference w:type="default" r:id="rId9"/>
          <w:headerReference w:type="first" r:id="rId10"/>
          <w:type w:val="continuous"/>
          <w:pgSz w:w="12240" w:h="15840" w:code="1"/>
          <w:pgMar w:top="1440" w:right="1440" w:bottom="1440" w:left="1440" w:header="720" w:footer="720" w:gutter="0"/>
          <w:pgNumType w:start="1"/>
          <w:cols w:space="720"/>
          <w:titlePg/>
          <w:docGrid w:linePitch="360"/>
        </w:sectPr>
      </w:pPr>
    </w:p>
    <w:sdt>
      <w:sdtPr>
        <w:rPr>
          <w:rFonts w:ascii="Times New Roman" w:eastAsia="Times New Roman" w:hAnsi="Times New Roman" w:cs="Times New Roman"/>
          <w:color w:val="auto"/>
          <w:sz w:val="24"/>
          <w:szCs w:val="20"/>
        </w:rPr>
        <w:id w:val="-1161616026"/>
        <w:docPartObj>
          <w:docPartGallery w:val="Table of Contents"/>
          <w:docPartUnique/>
        </w:docPartObj>
      </w:sdtPr>
      <w:sdtEndPr>
        <w:rPr>
          <w:b/>
          <w:bCs/>
          <w:noProof/>
          <w:color w:val="000000"/>
        </w:rPr>
      </w:sdtEndPr>
      <w:sdtContent>
        <w:p w14:paraId="6BAE424C" w14:textId="7333EA84" w:rsidR="00444113" w:rsidRDefault="00444113">
          <w:pPr>
            <w:pStyle w:val="TOCHeading"/>
            <w:rPr>
              <w:rFonts w:ascii="Times New Roman" w:hAnsi="Times New Roman" w:cs="Times New Roman"/>
              <w:color w:val="auto"/>
            </w:rPr>
          </w:pPr>
          <w:r w:rsidRPr="00444113">
            <w:rPr>
              <w:rFonts w:ascii="Times New Roman" w:hAnsi="Times New Roman" w:cs="Times New Roman"/>
              <w:color w:val="auto"/>
            </w:rPr>
            <w:t>Table of Contents</w:t>
          </w:r>
        </w:p>
        <w:p w14:paraId="29B8C2E4" w14:textId="77777777" w:rsidR="00444113" w:rsidRPr="00444113" w:rsidRDefault="00444113" w:rsidP="00444113"/>
        <w:p w14:paraId="61194310" w14:textId="5D5EF5DA" w:rsidR="00444113" w:rsidRDefault="00444113">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77803076" w:history="1">
            <w:r w:rsidRPr="00F225E7">
              <w:rPr>
                <w:rStyle w:val="Hyperlink"/>
                <w:noProof/>
              </w:rPr>
              <w:t>Introduction</w:t>
            </w:r>
            <w:r>
              <w:rPr>
                <w:noProof/>
                <w:webHidden/>
              </w:rPr>
              <w:tab/>
            </w:r>
            <w:r>
              <w:rPr>
                <w:noProof/>
                <w:webHidden/>
              </w:rPr>
              <w:fldChar w:fldCharType="begin"/>
            </w:r>
            <w:r>
              <w:rPr>
                <w:noProof/>
                <w:webHidden/>
              </w:rPr>
              <w:instrText xml:space="preserve"> PAGEREF _Toc77803076 \h </w:instrText>
            </w:r>
            <w:r>
              <w:rPr>
                <w:noProof/>
                <w:webHidden/>
              </w:rPr>
            </w:r>
            <w:r>
              <w:rPr>
                <w:noProof/>
                <w:webHidden/>
              </w:rPr>
              <w:fldChar w:fldCharType="separate"/>
            </w:r>
            <w:r w:rsidR="004607A8">
              <w:rPr>
                <w:noProof/>
                <w:webHidden/>
              </w:rPr>
              <w:t>3</w:t>
            </w:r>
            <w:r>
              <w:rPr>
                <w:noProof/>
                <w:webHidden/>
              </w:rPr>
              <w:fldChar w:fldCharType="end"/>
            </w:r>
          </w:hyperlink>
        </w:p>
        <w:p w14:paraId="212EB766" w14:textId="3E961FB5" w:rsidR="00444113" w:rsidRDefault="002B74E9">
          <w:pPr>
            <w:pStyle w:val="TOC2"/>
            <w:tabs>
              <w:tab w:val="right" w:leader="dot" w:pos="9350"/>
            </w:tabs>
            <w:rPr>
              <w:rFonts w:asciiTheme="minorHAnsi" w:eastAsiaTheme="minorEastAsia" w:hAnsiTheme="minorHAnsi" w:cstheme="minorBidi"/>
              <w:noProof/>
              <w:color w:val="auto"/>
              <w:sz w:val="22"/>
              <w:szCs w:val="22"/>
            </w:rPr>
          </w:pPr>
          <w:hyperlink w:anchor="_Toc77803077" w:history="1">
            <w:r w:rsidR="00444113" w:rsidRPr="00F225E7">
              <w:rPr>
                <w:rStyle w:val="Hyperlink"/>
                <w:noProof/>
              </w:rPr>
              <w:t>Overview</w:t>
            </w:r>
            <w:r w:rsidR="00444113">
              <w:rPr>
                <w:noProof/>
                <w:webHidden/>
              </w:rPr>
              <w:tab/>
            </w:r>
            <w:r w:rsidR="00444113">
              <w:rPr>
                <w:noProof/>
                <w:webHidden/>
              </w:rPr>
              <w:fldChar w:fldCharType="begin"/>
            </w:r>
            <w:r w:rsidR="00444113">
              <w:rPr>
                <w:noProof/>
                <w:webHidden/>
              </w:rPr>
              <w:instrText xml:space="preserve"> PAGEREF _Toc77803077 \h </w:instrText>
            </w:r>
            <w:r w:rsidR="00444113">
              <w:rPr>
                <w:noProof/>
                <w:webHidden/>
              </w:rPr>
            </w:r>
            <w:r w:rsidR="00444113">
              <w:rPr>
                <w:noProof/>
                <w:webHidden/>
              </w:rPr>
              <w:fldChar w:fldCharType="separate"/>
            </w:r>
            <w:r w:rsidR="004607A8">
              <w:rPr>
                <w:noProof/>
                <w:webHidden/>
              </w:rPr>
              <w:t>3</w:t>
            </w:r>
            <w:r w:rsidR="00444113">
              <w:rPr>
                <w:noProof/>
                <w:webHidden/>
              </w:rPr>
              <w:fldChar w:fldCharType="end"/>
            </w:r>
          </w:hyperlink>
        </w:p>
        <w:p w14:paraId="183E7DD4" w14:textId="527DF8CF" w:rsidR="00444113" w:rsidRDefault="002B74E9">
          <w:pPr>
            <w:pStyle w:val="TOC2"/>
            <w:tabs>
              <w:tab w:val="right" w:leader="dot" w:pos="9350"/>
            </w:tabs>
            <w:rPr>
              <w:rFonts w:asciiTheme="minorHAnsi" w:eastAsiaTheme="minorEastAsia" w:hAnsiTheme="minorHAnsi" w:cstheme="minorBidi"/>
              <w:noProof/>
              <w:color w:val="auto"/>
              <w:sz w:val="22"/>
              <w:szCs w:val="22"/>
            </w:rPr>
          </w:pPr>
          <w:hyperlink w:anchor="_Toc77803078" w:history="1">
            <w:r w:rsidR="00444113" w:rsidRPr="00F225E7">
              <w:rPr>
                <w:rStyle w:val="Hyperlink"/>
                <w:noProof/>
              </w:rPr>
              <w:t>Microsoft E-Commerce Operations Overview</w:t>
            </w:r>
            <w:r w:rsidR="00444113">
              <w:rPr>
                <w:noProof/>
                <w:webHidden/>
              </w:rPr>
              <w:tab/>
            </w:r>
            <w:r w:rsidR="00444113">
              <w:rPr>
                <w:noProof/>
                <w:webHidden/>
              </w:rPr>
              <w:fldChar w:fldCharType="begin"/>
            </w:r>
            <w:r w:rsidR="00444113">
              <w:rPr>
                <w:noProof/>
                <w:webHidden/>
              </w:rPr>
              <w:instrText xml:space="preserve"> PAGEREF _Toc77803078 \h </w:instrText>
            </w:r>
            <w:r w:rsidR="00444113">
              <w:rPr>
                <w:noProof/>
                <w:webHidden/>
              </w:rPr>
            </w:r>
            <w:r w:rsidR="00444113">
              <w:rPr>
                <w:noProof/>
                <w:webHidden/>
              </w:rPr>
              <w:fldChar w:fldCharType="separate"/>
            </w:r>
            <w:r w:rsidR="004607A8">
              <w:rPr>
                <w:noProof/>
                <w:webHidden/>
              </w:rPr>
              <w:t>3</w:t>
            </w:r>
            <w:r w:rsidR="00444113">
              <w:rPr>
                <w:noProof/>
                <w:webHidden/>
              </w:rPr>
              <w:fldChar w:fldCharType="end"/>
            </w:r>
          </w:hyperlink>
        </w:p>
        <w:p w14:paraId="306DE337" w14:textId="6BC37FDD" w:rsidR="00444113" w:rsidRDefault="002B74E9">
          <w:pPr>
            <w:pStyle w:val="TOC2"/>
            <w:tabs>
              <w:tab w:val="right" w:leader="dot" w:pos="9350"/>
            </w:tabs>
            <w:rPr>
              <w:rFonts w:asciiTheme="minorHAnsi" w:eastAsiaTheme="minorEastAsia" w:hAnsiTheme="minorHAnsi" w:cstheme="minorBidi"/>
              <w:noProof/>
              <w:color w:val="auto"/>
              <w:sz w:val="22"/>
              <w:szCs w:val="22"/>
            </w:rPr>
          </w:pPr>
          <w:hyperlink w:anchor="_Toc77803079" w:history="1">
            <w:r w:rsidR="00444113" w:rsidRPr="00F225E7">
              <w:rPr>
                <w:rStyle w:val="Hyperlink"/>
                <w:noProof/>
              </w:rPr>
              <w:t>Microsoft’s Cybersecurity Needs</w:t>
            </w:r>
            <w:r w:rsidR="00444113">
              <w:rPr>
                <w:noProof/>
                <w:webHidden/>
              </w:rPr>
              <w:tab/>
            </w:r>
            <w:r w:rsidR="00444113">
              <w:rPr>
                <w:noProof/>
                <w:webHidden/>
              </w:rPr>
              <w:fldChar w:fldCharType="begin"/>
            </w:r>
            <w:r w:rsidR="00444113">
              <w:rPr>
                <w:noProof/>
                <w:webHidden/>
              </w:rPr>
              <w:instrText xml:space="preserve"> PAGEREF _Toc77803079 \h </w:instrText>
            </w:r>
            <w:r w:rsidR="00444113">
              <w:rPr>
                <w:noProof/>
                <w:webHidden/>
              </w:rPr>
            </w:r>
            <w:r w:rsidR="00444113">
              <w:rPr>
                <w:noProof/>
                <w:webHidden/>
              </w:rPr>
              <w:fldChar w:fldCharType="separate"/>
            </w:r>
            <w:r w:rsidR="004607A8">
              <w:rPr>
                <w:noProof/>
                <w:webHidden/>
              </w:rPr>
              <w:t>4</w:t>
            </w:r>
            <w:r w:rsidR="00444113">
              <w:rPr>
                <w:noProof/>
                <w:webHidden/>
              </w:rPr>
              <w:fldChar w:fldCharType="end"/>
            </w:r>
          </w:hyperlink>
        </w:p>
        <w:p w14:paraId="02B28D7A" w14:textId="283723F8" w:rsidR="00444113" w:rsidRDefault="002B74E9">
          <w:pPr>
            <w:pStyle w:val="TOC1"/>
            <w:tabs>
              <w:tab w:val="right" w:leader="dot" w:pos="9350"/>
            </w:tabs>
            <w:rPr>
              <w:rFonts w:asciiTheme="minorHAnsi" w:eastAsiaTheme="minorEastAsia" w:hAnsiTheme="minorHAnsi" w:cstheme="minorBidi"/>
              <w:noProof/>
              <w:color w:val="auto"/>
              <w:sz w:val="22"/>
              <w:szCs w:val="22"/>
            </w:rPr>
          </w:pPr>
          <w:hyperlink w:anchor="_Toc77803080" w:history="1">
            <w:r w:rsidR="00444113" w:rsidRPr="00F225E7">
              <w:rPr>
                <w:rStyle w:val="Hyperlink"/>
                <w:noProof/>
              </w:rPr>
              <w:t>Analysis</w:t>
            </w:r>
            <w:r w:rsidR="00444113">
              <w:rPr>
                <w:noProof/>
                <w:webHidden/>
              </w:rPr>
              <w:tab/>
            </w:r>
            <w:r w:rsidR="00444113">
              <w:rPr>
                <w:noProof/>
                <w:webHidden/>
              </w:rPr>
              <w:fldChar w:fldCharType="begin"/>
            </w:r>
            <w:r w:rsidR="00444113">
              <w:rPr>
                <w:noProof/>
                <w:webHidden/>
              </w:rPr>
              <w:instrText xml:space="preserve"> PAGEREF _Toc77803080 \h </w:instrText>
            </w:r>
            <w:r w:rsidR="00444113">
              <w:rPr>
                <w:noProof/>
                <w:webHidden/>
              </w:rPr>
            </w:r>
            <w:r w:rsidR="00444113">
              <w:rPr>
                <w:noProof/>
                <w:webHidden/>
              </w:rPr>
              <w:fldChar w:fldCharType="separate"/>
            </w:r>
            <w:r w:rsidR="004607A8">
              <w:rPr>
                <w:noProof/>
                <w:webHidden/>
              </w:rPr>
              <w:t>5</w:t>
            </w:r>
            <w:r w:rsidR="00444113">
              <w:rPr>
                <w:noProof/>
                <w:webHidden/>
              </w:rPr>
              <w:fldChar w:fldCharType="end"/>
            </w:r>
          </w:hyperlink>
        </w:p>
        <w:p w14:paraId="16EA224B" w14:textId="5DC4DF3A" w:rsidR="00444113" w:rsidRDefault="002B74E9">
          <w:pPr>
            <w:pStyle w:val="TOC2"/>
            <w:tabs>
              <w:tab w:val="right" w:leader="dot" w:pos="9350"/>
            </w:tabs>
            <w:rPr>
              <w:rFonts w:asciiTheme="minorHAnsi" w:eastAsiaTheme="minorEastAsia" w:hAnsiTheme="minorHAnsi" w:cstheme="minorBidi"/>
              <w:noProof/>
              <w:color w:val="auto"/>
              <w:sz w:val="22"/>
              <w:szCs w:val="22"/>
            </w:rPr>
          </w:pPr>
          <w:hyperlink w:anchor="_Toc77803081" w:history="1">
            <w:r w:rsidR="00444113" w:rsidRPr="00F225E7">
              <w:rPr>
                <w:rStyle w:val="Hyperlink"/>
                <w:noProof/>
              </w:rPr>
              <w:t>Cybersecurity Industry &amp; Supplier Overview</w:t>
            </w:r>
            <w:r w:rsidR="00444113">
              <w:rPr>
                <w:noProof/>
                <w:webHidden/>
              </w:rPr>
              <w:tab/>
            </w:r>
            <w:r w:rsidR="00444113">
              <w:rPr>
                <w:noProof/>
                <w:webHidden/>
              </w:rPr>
              <w:fldChar w:fldCharType="begin"/>
            </w:r>
            <w:r w:rsidR="00444113">
              <w:rPr>
                <w:noProof/>
                <w:webHidden/>
              </w:rPr>
              <w:instrText xml:space="preserve"> PAGEREF _Toc77803081 \h </w:instrText>
            </w:r>
            <w:r w:rsidR="00444113">
              <w:rPr>
                <w:noProof/>
                <w:webHidden/>
              </w:rPr>
            </w:r>
            <w:r w:rsidR="00444113">
              <w:rPr>
                <w:noProof/>
                <w:webHidden/>
              </w:rPr>
              <w:fldChar w:fldCharType="separate"/>
            </w:r>
            <w:r w:rsidR="004607A8">
              <w:rPr>
                <w:noProof/>
                <w:webHidden/>
              </w:rPr>
              <w:t>5</w:t>
            </w:r>
            <w:r w:rsidR="00444113">
              <w:rPr>
                <w:noProof/>
                <w:webHidden/>
              </w:rPr>
              <w:fldChar w:fldCharType="end"/>
            </w:r>
          </w:hyperlink>
        </w:p>
        <w:p w14:paraId="2F3247BA" w14:textId="52D84960" w:rsidR="00444113" w:rsidRDefault="002B74E9">
          <w:pPr>
            <w:pStyle w:val="TOC2"/>
            <w:tabs>
              <w:tab w:val="right" w:leader="dot" w:pos="9350"/>
            </w:tabs>
            <w:rPr>
              <w:rFonts w:asciiTheme="minorHAnsi" w:eastAsiaTheme="minorEastAsia" w:hAnsiTheme="minorHAnsi" w:cstheme="minorBidi"/>
              <w:noProof/>
              <w:color w:val="auto"/>
              <w:sz w:val="22"/>
              <w:szCs w:val="22"/>
            </w:rPr>
          </w:pPr>
          <w:hyperlink w:anchor="_Toc77803082" w:history="1">
            <w:r w:rsidR="00444113" w:rsidRPr="00F225E7">
              <w:rPr>
                <w:rStyle w:val="Hyperlink"/>
                <w:noProof/>
              </w:rPr>
              <w:t>Operational Risks Overview</w:t>
            </w:r>
            <w:r w:rsidR="00444113">
              <w:rPr>
                <w:noProof/>
                <w:webHidden/>
              </w:rPr>
              <w:tab/>
            </w:r>
            <w:r w:rsidR="00444113">
              <w:rPr>
                <w:noProof/>
                <w:webHidden/>
              </w:rPr>
              <w:fldChar w:fldCharType="begin"/>
            </w:r>
            <w:r w:rsidR="00444113">
              <w:rPr>
                <w:noProof/>
                <w:webHidden/>
              </w:rPr>
              <w:instrText xml:space="preserve"> PAGEREF _Toc77803082 \h </w:instrText>
            </w:r>
            <w:r w:rsidR="00444113">
              <w:rPr>
                <w:noProof/>
                <w:webHidden/>
              </w:rPr>
            </w:r>
            <w:r w:rsidR="00444113">
              <w:rPr>
                <w:noProof/>
                <w:webHidden/>
              </w:rPr>
              <w:fldChar w:fldCharType="separate"/>
            </w:r>
            <w:r w:rsidR="004607A8">
              <w:rPr>
                <w:noProof/>
                <w:webHidden/>
              </w:rPr>
              <w:t>8</w:t>
            </w:r>
            <w:r w:rsidR="00444113">
              <w:rPr>
                <w:noProof/>
                <w:webHidden/>
              </w:rPr>
              <w:fldChar w:fldCharType="end"/>
            </w:r>
          </w:hyperlink>
        </w:p>
        <w:p w14:paraId="36F6890E" w14:textId="65A49174" w:rsidR="00444113" w:rsidRDefault="002B74E9">
          <w:pPr>
            <w:pStyle w:val="TOC2"/>
            <w:tabs>
              <w:tab w:val="right" w:leader="dot" w:pos="9350"/>
            </w:tabs>
            <w:rPr>
              <w:rFonts w:asciiTheme="minorHAnsi" w:eastAsiaTheme="minorEastAsia" w:hAnsiTheme="minorHAnsi" w:cstheme="minorBidi"/>
              <w:noProof/>
              <w:color w:val="auto"/>
              <w:sz w:val="22"/>
              <w:szCs w:val="22"/>
            </w:rPr>
          </w:pPr>
          <w:hyperlink w:anchor="_Toc77803083" w:history="1">
            <w:r w:rsidR="00444113" w:rsidRPr="00F225E7">
              <w:rPr>
                <w:rStyle w:val="Hyperlink"/>
                <w:noProof/>
              </w:rPr>
              <w:t>Product Liability</w:t>
            </w:r>
            <w:r w:rsidR="00444113">
              <w:rPr>
                <w:noProof/>
                <w:webHidden/>
              </w:rPr>
              <w:tab/>
            </w:r>
            <w:r w:rsidR="00444113">
              <w:rPr>
                <w:noProof/>
                <w:webHidden/>
              </w:rPr>
              <w:fldChar w:fldCharType="begin"/>
            </w:r>
            <w:r w:rsidR="00444113">
              <w:rPr>
                <w:noProof/>
                <w:webHidden/>
              </w:rPr>
              <w:instrText xml:space="preserve"> PAGEREF _Toc77803083 \h </w:instrText>
            </w:r>
            <w:r w:rsidR="00444113">
              <w:rPr>
                <w:noProof/>
                <w:webHidden/>
              </w:rPr>
            </w:r>
            <w:r w:rsidR="00444113">
              <w:rPr>
                <w:noProof/>
                <w:webHidden/>
              </w:rPr>
              <w:fldChar w:fldCharType="separate"/>
            </w:r>
            <w:r w:rsidR="004607A8">
              <w:rPr>
                <w:noProof/>
                <w:webHidden/>
              </w:rPr>
              <w:t>9</w:t>
            </w:r>
            <w:r w:rsidR="00444113">
              <w:rPr>
                <w:noProof/>
                <w:webHidden/>
              </w:rPr>
              <w:fldChar w:fldCharType="end"/>
            </w:r>
          </w:hyperlink>
        </w:p>
        <w:p w14:paraId="2AF4B9CD" w14:textId="18C515BC" w:rsidR="00444113" w:rsidRDefault="002B74E9">
          <w:pPr>
            <w:pStyle w:val="TOC1"/>
            <w:tabs>
              <w:tab w:val="right" w:leader="dot" w:pos="9350"/>
            </w:tabs>
            <w:rPr>
              <w:rFonts w:asciiTheme="minorHAnsi" w:eastAsiaTheme="minorEastAsia" w:hAnsiTheme="minorHAnsi" w:cstheme="minorBidi"/>
              <w:noProof/>
              <w:color w:val="auto"/>
              <w:sz w:val="22"/>
              <w:szCs w:val="22"/>
            </w:rPr>
          </w:pPr>
          <w:hyperlink w:anchor="_Toc77803084" w:history="1">
            <w:r w:rsidR="00444113" w:rsidRPr="00F225E7">
              <w:rPr>
                <w:rStyle w:val="Hyperlink"/>
                <w:noProof/>
              </w:rPr>
              <w:t>Summary and Conclusions</w:t>
            </w:r>
            <w:r w:rsidR="00444113">
              <w:rPr>
                <w:noProof/>
                <w:webHidden/>
              </w:rPr>
              <w:tab/>
            </w:r>
            <w:r w:rsidR="00444113">
              <w:rPr>
                <w:noProof/>
                <w:webHidden/>
              </w:rPr>
              <w:fldChar w:fldCharType="begin"/>
            </w:r>
            <w:r w:rsidR="00444113">
              <w:rPr>
                <w:noProof/>
                <w:webHidden/>
              </w:rPr>
              <w:instrText xml:space="preserve"> PAGEREF _Toc77803084 \h </w:instrText>
            </w:r>
            <w:r w:rsidR="00444113">
              <w:rPr>
                <w:noProof/>
                <w:webHidden/>
              </w:rPr>
            </w:r>
            <w:r w:rsidR="00444113">
              <w:rPr>
                <w:noProof/>
                <w:webHidden/>
              </w:rPr>
              <w:fldChar w:fldCharType="separate"/>
            </w:r>
            <w:r w:rsidR="004607A8">
              <w:rPr>
                <w:noProof/>
                <w:webHidden/>
              </w:rPr>
              <w:t>9</w:t>
            </w:r>
            <w:r w:rsidR="00444113">
              <w:rPr>
                <w:noProof/>
                <w:webHidden/>
              </w:rPr>
              <w:fldChar w:fldCharType="end"/>
            </w:r>
          </w:hyperlink>
        </w:p>
        <w:p w14:paraId="0988AD8A" w14:textId="3C85A318" w:rsidR="00444113" w:rsidRDefault="002B74E9">
          <w:pPr>
            <w:pStyle w:val="TOC1"/>
            <w:tabs>
              <w:tab w:val="right" w:leader="dot" w:pos="9350"/>
            </w:tabs>
            <w:rPr>
              <w:rFonts w:asciiTheme="minorHAnsi" w:eastAsiaTheme="minorEastAsia" w:hAnsiTheme="minorHAnsi" w:cstheme="minorBidi"/>
              <w:noProof/>
              <w:color w:val="auto"/>
              <w:sz w:val="22"/>
              <w:szCs w:val="22"/>
            </w:rPr>
          </w:pPr>
          <w:hyperlink w:anchor="_Toc77803085" w:history="1">
            <w:r w:rsidR="00444113" w:rsidRPr="00F225E7">
              <w:rPr>
                <w:rStyle w:val="Hyperlink"/>
                <w:noProof/>
              </w:rPr>
              <w:t>References</w:t>
            </w:r>
            <w:r w:rsidR="00444113">
              <w:rPr>
                <w:noProof/>
                <w:webHidden/>
              </w:rPr>
              <w:tab/>
            </w:r>
            <w:r w:rsidR="00444113">
              <w:rPr>
                <w:noProof/>
                <w:webHidden/>
              </w:rPr>
              <w:fldChar w:fldCharType="begin"/>
            </w:r>
            <w:r w:rsidR="00444113">
              <w:rPr>
                <w:noProof/>
                <w:webHidden/>
              </w:rPr>
              <w:instrText xml:space="preserve"> PAGEREF _Toc77803085 \h </w:instrText>
            </w:r>
            <w:r w:rsidR="00444113">
              <w:rPr>
                <w:noProof/>
                <w:webHidden/>
              </w:rPr>
            </w:r>
            <w:r w:rsidR="00444113">
              <w:rPr>
                <w:noProof/>
                <w:webHidden/>
              </w:rPr>
              <w:fldChar w:fldCharType="separate"/>
            </w:r>
            <w:r w:rsidR="004607A8">
              <w:rPr>
                <w:noProof/>
                <w:webHidden/>
              </w:rPr>
              <w:t>11</w:t>
            </w:r>
            <w:r w:rsidR="00444113">
              <w:rPr>
                <w:noProof/>
                <w:webHidden/>
              </w:rPr>
              <w:fldChar w:fldCharType="end"/>
            </w:r>
          </w:hyperlink>
        </w:p>
        <w:p w14:paraId="4C4A1F6F" w14:textId="5B764639" w:rsidR="00444113" w:rsidRDefault="00444113">
          <w:pPr>
            <w:rPr>
              <w:b/>
              <w:bCs/>
              <w:noProof/>
            </w:rPr>
          </w:pPr>
          <w:r>
            <w:rPr>
              <w:b/>
              <w:bCs/>
              <w:noProof/>
            </w:rPr>
            <w:fldChar w:fldCharType="end"/>
          </w:r>
        </w:p>
        <w:p w14:paraId="1643748D" w14:textId="77777777" w:rsidR="00444113" w:rsidRDefault="00444113">
          <w:pPr>
            <w:rPr>
              <w:b/>
              <w:bCs/>
              <w:noProof/>
            </w:rPr>
          </w:pPr>
          <w:r>
            <w:rPr>
              <w:b/>
              <w:bCs/>
              <w:noProof/>
            </w:rPr>
            <w:br w:type="page"/>
          </w:r>
        </w:p>
        <w:p w14:paraId="173240AB" w14:textId="52A4C5C2" w:rsidR="00444113" w:rsidRDefault="002B74E9"/>
      </w:sdtContent>
    </w:sdt>
    <w:p w14:paraId="57DF6247" w14:textId="4ADC7771" w:rsidR="00D61717" w:rsidRDefault="005F067C" w:rsidP="00722BDD">
      <w:pPr>
        <w:pStyle w:val="Heading1"/>
      </w:pPr>
      <w:bookmarkStart w:id="6" w:name="_Toc77803076"/>
      <w:r>
        <w:t>Introduction</w:t>
      </w:r>
      <w:bookmarkEnd w:id="6"/>
    </w:p>
    <w:p w14:paraId="06DEF429" w14:textId="595A42CA" w:rsidR="00C33064" w:rsidRPr="00C33064" w:rsidRDefault="00C33064" w:rsidP="00722BDD">
      <w:pPr>
        <w:pStyle w:val="Heading2"/>
      </w:pPr>
      <w:bookmarkStart w:id="7" w:name="_Toc77803077"/>
      <w:r>
        <w:t>Overview</w:t>
      </w:r>
      <w:bookmarkEnd w:id="7"/>
    </w:p>
    <w:p w14:paraId="4821B42B" w14:textId="77777777" w:rsidR="00C33064" w:rsidRDefault="00C33064" w:rsidP="00722BDD">
      <w:pPr>
        <w:pStyle w:val="NormalIndent"/>
      </w:pPr>
      <w:r>
        <w:t xml:space="preserve">Microsoft was founded in 1975 by Paul Allen and Bill Gates in Albuquerque, New Mexico selling software for the Altair 8800 personal computer (history.com Editors, 2020). Though they started out as a computer software company, they have since branched out to several more technology related sectors. Below is a timeline of some of the major events for Microsoft using information found on Microsoft’s website (2021) and </w:t>
      </w:r>
      <w:proofErr w:type="spellStart"/>
      <w:r>
        <w:t>Brittanica</w:t>
      </w:r>
      <w:proofErr w:type="spellEnd"/>
      <w:r>
        <w:t xml:space="preserve"> (Pascal and Hall, 2021) :</w:t>
      </w:r>
      <w:r>
        <w:br/>
        <w:t>1975 – Founded</w:t>
      </w:r>
      <w:r>
        <w:br/>
        <w:t>1981 – Incorporated</w:t>
      </w:r>
      <w:r>
        <w:br/>
        <w:t>1981 – Gets IBM to produce personal computers with MS-DOS 1.0 Operating System</w:t>
      </w:r>
      <w:r>
        <w:br/>
        <w:t>1989 – Launches Microsoft Office software</w:t>
      </w:r>
      <w:r>
        <w:br/>
        <w:t>1995 – Launches Windows 95 which was their first integration of MS-DOS with Windows GUI</w:t>
      </w:r>
      <w:r>
        <w:br/>
        <w:t>2001 – Releases XBOX game console getting into the video game market</w:t>
      </w:r>
      <w:r>
        <w:br/>
        <w:t>2010 – Releases Windows Phone 7 their first phone</w:t>
      </w:r>
      <w:r>
        <w:br/>
        <w:t>2010 – Launches Windows Azure getting into the cloud market</w:t>
      </w:r>
    </w:p>
    <w:p w14:paraId="5009B634" w14:textId="77777777" w:rsidR="00C33064" w:rsidRDefault="00C33064" w:rsidP="00722BDD">
      <w:pPr>
        <w:pStyle w:val="NormalIndent"/>
        <w:ind w:firstLine="0"/>
      </w:pPr>
      <w:r>
        <w:t>2016 – Acquires LinkedIn entering the social media market</w:t>
      </w:r>
    </w:p>
    <w:p w14:paraId="1F9FC7E7" w14:textId="77777777" w:rsidR="00C33064" w:rsidRDefault="00C33064" w:rsidP="00722BDD">
      <w:pPr>
        <w:pStyle w:val="NormalIndent"/>
        <w:ind w:firstLine="0"/>
      </w:pPr>
      <w:r>
        <w:t xml:space="preserve">2019 – Releases </w:t>
      </w:r>
      <w:proofErr w:type="spellStart"/>
      <w:r>
        <w:t>Hololens</w:t>
      </w:r>
      <w:proofErr w:type="spellEnd"/>
      <w:r>
        <w:t xml:space="preserve"> 2 Mixed Reality device</w:t>
      </w:r>
    </w:p>
    <w:p w14:paraId="5C32BB13" w14:textId="77777777" w:rsidR="00C33064" w:rsidRDefault="00C33064" w:rsidP="00722BDD">
      <w:pPr>
        <w:pStyle w:val="Heading2"/>
      </w:pPr>
      <w:bookmarkStart w:id="8" w:name="_Toc77803078"/>
      <w:r>
        <w:t>Microsoft E-Commerce Operations Overview</w:t>
      </w:r>
      <w:bookmarkEnd w:id="8"/>
    </w:p>
    <w:p w14:paraId="213FAFD5" w14:textId="77777777" w:rsidR="00C33064" w:rsidRDefault="00C33064" w:rsidP="00722BDD">
      <w:pPr>
        <w:pStyle w:val="NormalIndent"/>
      </w:pPr>
      <w:r>
        <w:t>According to their Hoover report (Hoover, 2021), Microsoft’s operations are split into three different sections: “More Personal Computing, Productivity and Business Processes, and Intelligent Cloud” (p. 3, core report). They go on to show the breakdown of revenue by operational department as follows:</w:t>
      </w:r>
    </w:p>
    <w:p w14:paraId="23492F62" w14:textId="77777777" w:rsidR="00C33064" w:rsidRDefault="00C33064" w:rsidP="00722BDD">
      <w:pPr>
        <w:pStyle w:val="NormalIndent"/>
      </w:pPr>
      <w:r>
        <w:lastRenderedPageBreak/>
        <w:t>More Personal Computing – 35%</w:t>
      </w:r>
    </w:p>
    <w:p w14:paraId="49AB947F" w14:textId="77777777" w:rsidR="00C33064" w:rsidRDefault="00C33064" w:rsidP="00722BDD">
      <w:pPr>
        <w:pStyle w:val="NormalIndent"/>
      </w:pPr>
      <w:r>
        <w:t xml:space="preserve">Productivity and Business Processes – about 33% </w:t>
      </w:r>
    </w:p>
    <w:p w14:paraId="566CBA6E" w14:textId="77777777" w:rsidR="00C33064" w:rsidRDefault="00C33064" w:rsidP="00722BDD">
      <w:pPr>
        <w:pStyle w:val="NormalIndent"/>
      </w:pPr>
      <w:r>
        <w:t>Intelligent Cloud – about 30%</w:t>
      </w:r>
    </w:p>
    <w:p w14:paraId="603C8A1E" w14:textId="41C752CC" w:rsidR="00C33064" w:rsidRDefault="00C33064" w:rsidP="00722BDD">
      <w:pPr>
        <w:pStyle w:val="NormalIndent"/>
        <w:ind w:firstLine="0"/>
      </w:pPr>
      <w:r>
        <w:t>Within the more personal computing operational department falls products and services such as Xbox, Windows Operating Systems, Surface Pro Tablets, HoloLens VR headsets, phones, royalties on games, and the like. Productivity and business processes consists of their software suites such as Office365, Dynamics ERP and CRM, and Skype products. Azure as well as anything cloud computing related falls under the third category. They currently have over 175,508 employees worldwide, 101,277 in the US, and almost 50% of them are engineers of a sort (Microsoft, 2021). According to their 10-K report (</w:t>
      </w:r>
      <w:proofErr w:type="spellStart"/>
      <w:r>
        <w:t>Brod</w:t>
      </w:r>
      <w:proofErr w:type="spellEnd"/>
      <w:r>
        <w:t>, 2019)</w:t>
      </w:r>
    </w:p>
    <w:p w14:paraId="38495C51" w14:textId="77777777" w:rsidR="00C33064" w:rsidRDefault="00C33064" w:rsidP="00722BDD">
      <w:pPr>
        <w:pStyle w:val="Heading2"/>
      </w:pPr>
      <w:bookmarkStart w:id="9" w:name="_Toc77803079"/>
      <w:r>
        <w:t>Microsoft’s Cybersecurity Needs</w:t>
      </w:r>
      <w:bookmarkEnd w:id="9"/>
    </w:p>
    <w:p w14:paraId="716750D6" w14:textId="77777777" w:rsidR="00C33064" w:rsidRDefault="00C33064" w:rsidP="00722BDD">
      <w:pPr>
        <w:pStyle w:val="NormalIndent"/>
      </w:pPr>
      <w:r>
        <w:t>Microsoft being a large company has a broader range of assets that need protecting from cybersecurity threats. I will break down threats and cybersecurity needs based on the three previously identified operational functions: Personal Computing, Productivity/Business Process Software, and Intelligent Cloud.</w:t>
      </w:r>
    </w:p>
    <w:p w14:paraId="2395118A" w14:textId="77777777" w:rsidR="00C33064" w:rsidRDefault="00C33064" w:rsidP="00722BDD">
      <w:pPr>
        <w:pStyle w:val="NormalIndent"/>
      </w:pPr>
      <w:r>
        <w:t xml:space="preserve">In the personal computing arena, Microsoft must consider the security of the operating systems and devices that they release to their customers. When there are vulnerabilities found in their products, they must have a team ready to fix the issues and push updates out to customers (Norton, 2021). They also must have teams of researchers actively looking for vulnerabilities and staying on top of the latest malware so that they can keep </w:t>
      </w:r>
      <w:proofErr w:type="gramStart"/>
      <w:r>
        <w:t>up-to-date</w:t>
      </w:r>
      <w:proofErr w:type="gramEnd"/>
      <w:r>
        <w:t xml:space="preserve"> “virus signatures” for their Windows Defender products which come installed in Windows 10 systems. Besides protecting their customers, Microsoft also must employ an information security management system organization-wide to address risk and cybersecurity issues. They must control access to </w:t>
      </w:r>
      <w:r>
        <w:lastRenderedPageBreak/>
        <w:t xml:space="preserve">proprietary information such as product research and development, operating system source code, and any business processes or information that could be targeted by hackers or insider threats for personal gain/industrial espionage. </w:t>
      </w:r>
    </w:p>
    <w:p w14:paraId="28CE8EE9" w14:textId="77777777" w:rsidR="00C33064" w:rsidRDefault="00C33064" w:rsidP="00722BDD">
      <w:pPr>
        <w:pStyle w:val="NormalIndent"/>
      </w:pPr>
      <w:r>
        <w:t xml:space="preserve">Microsoft’s productivity and business software must be kept safe as well. Customers rely on their exchange servers to keep emails confidential and ensure proper encryption and non-repudiation are available for consumers. This is especially evident with the recent vulnerabilities being exploited in Microsoft Exchange servers allowing threat actors to gain access to organizations and snoop on emails of victim organizations (Osborne, 2021). These productivity software applications can be used as an entry point into the networks to steal information, deploy ransomware, or even destroy data. </w:t>
      </w:r>
    </w:p>
    <w:p w14:paraId="174D47D4" w14:textId="77777777" w:rsidR="00C33064" w:rsidRDefault="00C33064" w:rsidP="00722BDD">
      <w:pPr>
        <w:pStyle w:val="NormalIndent"/>
      </w:pPr>
      <w:r>
        <w:t xml:space="preserve">Microsoft’s security requirements and needs expand to their intelligent cloud services as well. They must also restrict physical access to buildings to stay compliant with PCI DSS (Tunggal, 2021) and NIST CSF DE.CM-2 since they have federal cloud contracts (Reciprocity, </w:t>
      </w:r>
      <w:proofErr w:type="gramStart"/>
      <w:r>
        <w:t>2021)(</w:t>
      </w:r>
      <w:proofErr w:type="gramEnd"/>
      <w:r>
        <w:t>US DoD, 2019)(CSF Tools, 2018). They are also responsible for ensuring the confidentiality of their customer’s data in the cloud and defending against side channel attacks, VM escape attacks, and denial of service attacks to name a few (Bryk, 2020). Microsoft may also have to be on the lookout for criminals and terrorists utilizing resources from Azure to carry out denial of service attacks or hosting malicious/inappropriate content.</w:t>
      </w:r>
    </w:p>
    <w:p w14:paraId="54DF87C4" w14:textId="77777777" w:rsidR="00CD6A76" w:rsidRPr="00CD6A76" w:rsidRDefault="00CD6A76" w:rsidP="00722BDD">
      <w:pPr>
        <w:pStyle w:val="NormalIndent"/>
        <w:ind w:firstLine="0"/>
      </w:pPr>
    </w:p>
    <w:p w14:paraId="555B0332" w14:textId="1E2AAD90" w:rsidR="00D61717" w:rsidRDefault="005F067C" w:rsidP="00722BDD">
      <w:pPr>
        <w:pStyle w:val="Heading1"/>
      </w:pPr>
      <w:bookmarkStart w:id="10" w:name="_Toc77803080"/>
      <w:r>
        <w:t>Analysis</w:t>
      </w:r>
      <w:bookmarkEnd w:id="10"/>
    </w:p>
    <w:p w14:paraId="3B036BDC" w14:textId="66F83679" w:rsidR="005F067C" w:rsidRDefault="00C81BE1" w:rsidP="00722BDD">
      <w:pPr>
        <w:pStyle w:val="Heading2"/>
      </w:pPr>
      <w:bookmarkStart w:id="11" w:name="_Toc77803081"/>
      <w:r w:rsidRPr="00C81BE1">
        <w:t>Cybersecurity Industry &amp; Supplier Overview</w:t>
      </w:r>
      <w:bookmarkEnd w:id="11"/>
    </w:p>
    <w:p w14:paraId="10ABE20F" w14:textId="22DE1805" w:rsidR="001130FA" w:rsidRDefault="001130FA" w:rsidP="00722BDD">
      <w:pPr>
        <w:pStyle w:val="NormalIndent"/>
      </w:pPr>
      <w:r>
        <w:t xml:space="preserve">Cybersecurity like so many other things in life has become monetized. Cybersecurity as a market exists because somebody realized that they could sell products and services to make </w:t>
      </w:r>
      <w:r>
        <w:lastRenderedPageBreak/>
        <w:t>systems more secure. The reason that people and companies are willing to spend money to purchase, learn about, and implement these products and services is because people started losing money, reputation, and data they deemed sensitive to cyber criminals and eventually nation state cyber adversaries as well. It is therefore in the best interest of companies and sometimes even everyday users of computers to utilize security tools and products to prevent such things from happening</w:t>
      </w:r>
      <w:proofErr w:type="gramStart"/>
      <w:r>
        <w:t xml:space="preserve">.  </w:t>
      </w:r>
      <w:proofErr w:type="gramEnd"/>
    </w:p>
    <w:p w14:paraId="003F89E5" w14:textId="65AD9FB8" w:rsidR="001130FA" w:rsidRDefault="001130FA" w:rsidP="00722BDD">
      <w:pPr>
        <w:pStyle w:val="NormalIndent"/>
      </w:pPr>
      <w:r>
        <w:t>Cybersecurity is less about guarding electronic devices and more about safeguarding</w:t>
      </w:r>
      <w:r w:rsidR="00DC2CDB">
        <w:t xml:space="preserve"> the confidentiality, availability and integrity of data and communications. It is about guarding people’s reputations, wallets, and keeping the lights on and the gasoline flowing. Computers were originally invented to make life easier and allow us to solve problems faster and more efficiently. This holds true today as cloud computing, personal computers, and software applications streamline communication, mathematical processing, and are integrated into many aspects of modern civilization. I liken cybersecurity’s role in modern day computing to security features in cars. People manufacture cars with airbags to decrease the chances of death or injury to passengers in accidents. By far, the most effective security measure for avoiding injury or death of passengers would be to manufacture a car that is immobile or that does not move. However, a car that is incapable of transport is pointless. In the same way, there is a balance to be played with cybersecurity products and services. They must enable businesses to be productive while maintaining safety. A computer incapable of calculations or accessing necessary data is pointless. </w:t>
      </w:r>
    </w:p>
    <w:p w14:paraId="0D4DAF6A" w14:textId="5618CE36" w:rsidR="001F093E" w:rsidRDefault="00AB4933" w:rsidP="00722BDD">
      <w:pPr>
        <w:pStyle w:val="NormalIndent"/>
      </w:pPr>
      <w:r>
        <w:t xml:space="preserve">Microsoft has need for cybersecurity products that may be integrated with their products or used to improve their own products. As previously mentioned, Microsoft’s personal computing products </w:t>
      </w:r>
      <w:r w:rsidR="00C70201">
        <w:t xml:space="preserve">have need to be secured against the continuous barrage of vulnerabilities and </w:t>
      </w:r>
      <w:r w:rsidR="00C70201">
        <w:lastRenderedPageBreak/>
        <w:t xml:space="preserve">exploits developed by persons and groups with ill intention. In answer to this need, they would benefit from taking in threat intelligence feeds and crowdsourced bug-hunting programs. </w:t>
      </w:r>
      <w:proofErr w:type="spellStart"/>
      <w:r w:rsidR="00C70201">
        <w:t>Bugcrowd</w:t>
      </w:r>
      <w:proofErr w:type="spellEnd"/>
      <w:r w:rsidR="00C70201">
        <w:t xml:space="preserve"> is an organization that offers crowdsourced bug hunting to e-commerce and software providers. Vulnerability researchers, known as bug hunters, sign up with </w:t>
      </w:r>
      <w:proofErr w:type="spellStart"/>
      <w:r w:rsidR="00C70201">
        <w:t>Bugcrowd</w:t>
      </w:r>
      <w:proofErr w:type="spellEnd"/>
      <w:r w:rsidR="00C70201">
        <w:t xml:space="preserve"> to search for vulnerabilities in customer’s products and infrastructures at the discretion of the customer in return for reward</w:t>
      </w:r>
      <w:r w:rsidR="00380747">
        <w:t>s in the form of payment, reputation points, or company-themed merchandise (</w:t>
      </w:r>
      <w:proofErr w:type="spellStart"/>
      <w:r w:rsidR="00380747">
        <w:t>Bugcrowd</w:t>
      </w:r>
      <w:proofErr w:type="spellEnd"/>
      <w:r w:rsidR="00380747">
        <w:t>, 2021).</w:t>
      </w:r>
    </w:p>
    <w:p w14:paraId="111187D9" w14:textId="16C7C17B" w:rsidR="00BB0A7A" w:rsidRDefault="00BB0A7A" w:rsidP="00722BDD">
      <w:pPr>
        <w:pStyle w:val="NormalIndent"/>
      </w:pPr>
      <w:r>
        <w:t xml:space="preserve">In addition to crowdsourced bug-hunting and responsible disclosure programs, </w:t>
      </w:r>
      <w:r w:rsidR="00977BA6">
        <w:t>Microsoft needs a continuous feed of cutting-edge intelligence. They need to know of trends in the threat landscape before they become public or popular. This creates need for a threat intelligence service.</w:t>
      </w:r>
      <w:r w:rsidR="00962AFA">
        <w:t xml:space="preserve"> The renowned Mandiant FireEye provides their product Mandiant Advantage, a </w:t>
      </w:r>
      <w:r w:rsidR="00402FFC">
        <w:t>cutting-edge</w:t>
      </w:r>
      <w:r w:rsidR="00962AFA">
        <w:t xml:space="preserve"> threat intelligence platform that utilizes</w:t>
      </w:r>
      <w:r w:rsidR="00FF0B19">
        <w:t xml:space="preserve"> data from </w:t>
      </w:r>
      <w:r w:rsidR="00402FFC">
        <w:t>current incidents, research, and dark web forums (Mandiant, 2021).</w:t>
      </w:r>
    </w:p>
    <w:p w14:paraId="33B9B98C" w14:textId="00190A91" w:rsidR="001130FA" w:rsidRDefault="00402FFC" w:rsidP="001130FA">
      <w:pPr>
        <w:pStyle w:val="NormalIndent"/>
        <w:spacing w:before="240"/>
      </w:pPr>
      <w:r>
        <w:t>One of the more tangible areas of cybersecurity is physical security. Microsoft’s cloud environment requires physical security at the physical datacenters and R&amp;D labs. All data stored or processed in the cloud is stored or processed on a physical machine. If the physical machine is accessed or damaged</w:t>
      </w:r>
      <w:r w:rsidR="00390205">
        <w:t xml:space="preserve"> in-person, no amount of network or host-based controls can stop the incident. As we discussed earlier, Microsoft has locations across the globe. To provide physical security of facilities, they could benefit from the security guarding services of international physical security specialists: Securitas. According to their website, Securitas </w:t>
      </w:r>
      <w:r w:rsidR="00F1107F">
        <w:t xml:space="preserve">provides services in </w:t>
      </w:r>
      <w:r w:rsidR="00F1107F" w:rsidRPr="00F1107F">
        <w:t xml:space="preserve">North America, Europe, </w:t>
      </w:r>
      <w:proofErr w:type="spellStart"/>
      <w:r w:rsidR="00F1107F" w:rsidRPr="00F1107F">
        <w:t>Ibero</w:t>
      </w:r>
      <w:proofErr w:type="spellEnd"/>
      <w:r w:rsidR="00F1107F" w:rsidRPr="00F1107F">
        <w:t>-America and AMEA</w:t>
      </w:r>
      <w:r w:rsidR="00F1107F">
        <w:t xml:space="preserve"> which stands for Africa, Middle East, Asia, Australia (Securitas, 2021). </w:t>
      </w:r>
    </w:p>
    <w:p w14:paraId="4376B288" w14:textId="355B6876" w:rsidR="00C81BE1" w:rsidRDefault="00C81BE1" w:rsidP="00722BDD">
      <w:pPr>
        <w:pStyle w:val="Heading2"/>
      </w:pPr>
      <w:bookmarkStart w:id="12" w:name="_Toc77803082"/>
      <w:r>
        <w:lastRenderedPageBreak/>
        <w:t>O</w:t>
      </w:r>
      <w:r w:rsidRPr="00C81BE1">
        <w:t xml:space="preserve">perational </w:t>
      </w:r>
      <w:r>
        <w:t>R</w:t>
      </w:r>
      <w:r w:rsidRPr="00C81BE1">
        <w:t xml:space="preserve">isks </w:t>
      </w:r>
      <w:r>
        <w:t>O</w:t>
      </w:r>
      <w:r w:rsidRPr="00C81BE1">
        <w:t>verview</w:t>
      </w:r>
      <w:bookmarkEnd w:id="12"/>
    </w:p>
    <w:p w14:paraId="01527451" w14:textId="1022F804" w:rsidR="00C81BE1" w:rsidRDefault="00DC2CDB" w:rsidP="00DC2CDB">
      <w:pPr>
        <w:pStyle w:val="NormalIndent"/>
        <w:ind w:firstLine="0"/>
      </w:pPr>
      <w:r>
        <w:tab/>
        <w:t>One only needs to turn on the news to see how suppliers</w:t>
      </w:r>
      <w:r w:rsidR="00975B1B">
        <w:t xml:space="preserve"> of cybersecurity or IT tools and services may be sources of risk for a company using their services. In 2020, </w:t>
      </w:r>
      <w:r w:rsidR="005B7FA0">
        <w:t>it was disclosed that SolarWinds Orion software had been compromised and used to gain access to networks of over 18,000 customers (Hope, 2020) (FireEye, 2020</w:t>
      </w:r>
      <w:r w:rsidR="00057280">
        <w:t xml:space="preserve">). It is important to recognize risks associated with our vendors and suppliers. </w:t>
      </w:r>
    </w:p>
    <w:p w14:paraId="2891689A" w14:textId="0315BA13" w:rsidR="00057280" w:rsidRDefault="00057280" w:rsidP="00DC2CDB">
      <w:pPr>
        <w:pStyle w:val="NormalIndent"/>
        <w:ind w:firstLine="0"/>
      </w:pPr>
      <w:r>
        <w:tab/>
      </w:r>
      <w:proofErr w:type="spellStart"/>
      <w:r>
        <w:t>Bugcrowd</w:t>
      </w:r>
      <w:proofErr w:type="spellEnd"/>
      <w:r>
        <w:t xml:space="preserve"> has risk in the area that Microsoft may not know who is probing their systems or code for vulnerabilities. It is also possible that by welcoming systems to bug testing, Microsoft may open themselves up to unintentional damage from a less-skilled bug-hunter who uses automated tools for hacking and leaves behind a backdoor or accidentally causes a Denial of Service (DoS) attack. The biggest area of concern for </w:t>
      </w:r>
      <w:proofErr w:type="spellStart"/>
      <w:r>
        <w:t>Bugcrowd</w:t>
      </w:r>
      <w:proofErr w:type="spellEnd"/>
      <w:r>
        <w:t xml:space="preserve"> would be insider threats and Microsoft not knowing the backgrounds of the people attempting to </w:t>
      </w:r>
      <w:r w:rsidR="002E2E23">
        <w:t>disrupt</w:t>
      </w:r>
      <w:r>
        <w:t xml:space="preserve"> or break into their systems and their level of training.</w:t>
      </w:r>
    </w:p>
    <w:p w14:paraId="6A37BF2D" w14:textId="442E0FCF" w:rsidR="00057280" w:rsidRDefault="00057280" w:rsidP="00DC2CDB">
      <w:pPr>
        <w:pStyle w:val="NormalIndent"/>
        <w:ind w:firstLine="0"/>
      </w:pPr>
      <w:r>
        <w:tab/>
      </w:r>
      <w:r w:rsidR="00042091">
        <w:t>The only big risk that comes from utilizing threat intelligence services from Mandiant Advantage and other threat intel providers comes from what information you allow them to have access to. If you participate in sharing internal threat intelligence with FireEye, you run the risk of that intelligence going public if FireEye is hacked or the data is leaked by an insider at FireEye. This could expose internal operating procedures, network architecture, technologies, and/or sensitive information if this data is shared with a third party</w:t>
      </w:r>
      <w:proofErr w:type="gramStart"/>
      <w:r w:rsidR="00042091">
        <w:t xml:space="preserve">.  </w:t>
      </w:r>
      <w:proofErr w:type="gramEnd"/>
    </w:p>
    <w:p w14:paraId="3621612D" w14:textId="17BCD5F2" w:rsidR="00042091" w:rsidRDefault="00042091" w:rsidP="00DC2CDB">
      <w:pPr>
        <w:pStyle w:val="NormalIndent"/>
        <w:ind w:firstLine="0"/>
      </w:pPr>
      <w:r>
        <w:tab/>
        <w:t xml:space="preserve">Securitas is perhaps the hardest to defend against in risk management. Since the very nature of their physical security services are to have a third-party guard your most precious physical resources such as datacenters, research labs, or even records archives, the risk of a malicious or negligent insider poses a great risk to physical security. Unless Microsoft </w:t>
      </w:r>
      <w:r w:rsidR="00390129">
        <w:t>can</w:t>
      </w:r>
      <w:r>
        <w:t xml:space="preserve"> </w:t>
      </w:r>
      <w:r>
        <w:lastRenderedPageBreak/>
        <w:t xml:space="preserve">establish a vetting process for guards hired to secure access to facilities and resources, there is no way of knowing for sure that the guards could not be bribed to look the other way for criminals. </w:t>
      </w:r>
      <w:r w:rsidR="00390129">
        <w:t xml:space="preserve">A security guard could be selling badges to enter buildings or accepting bribes to abandon their post so that criminals gain access to restricted areas. </w:t>
      </w:r>
    </w:p>
    <w:p w14:paraId="48328B41" w14:textId="2CF3AC80" w:rsidR="00C81BE1" w:rsidRDefault="00C81BE1" w:rsidP="00722BDD">
      <w:pPr>
        <w:pStyle w:val="Heading2"/>
      </w:pPr>
      <w:bookmarkStart w:id="13" w:name="_Toc77803083"/>
      <w:r>
        <w:t>P</w:t>
      </w:r>
      <w:r w:rsidRPr="00C81BE1">
        <w:t xml:space="preserve">roduct </w:t>
      </w:r>
      <w:r>
        <w:t>L</w:t>
      </w:r>
      <w:r w:rsidRPr="00C81BE1">
        <w:t>iability</w:t>
      </w:r>
      <w:bookmarkEnd w:id="13"/>
    </w:p>
    <w:p w14:paraId="74E450F2" w14:textId="34DB0D3B" w:rsidR="00C81BE1" w:rsidRDefault="007A7F54" w:rsidP="00722BDD">
      <w:pPr>
        <w:pStyle w:val="NormalIndent"/>
      </w:pPr>
      <w:r>
        <w:t xml:space="preserve">According to Attorney at Law, Kathy Winger (N.D.), businesses may be liable for data breaches of vendors with whom you share confidential information. It does however depend on your contracts with them. </w:t>
      </w:r>
      <w:r w:rsidR="00FE4915">
        <w:t xml:space="preserve">Therefore, it is crucial that Microsoft, among other reasons, maintain an exceptional legal team. They should look over contracts carefully and </w:t>
      </w:r>
      <w:proofErr w:type="gramStart"/>
      <w:r w:rsidR="00FE4915">
        <w:t>make adjustments</w:t>
      </w:r>
      <w:proofErr w:type="gramEnd"/>
      <w:r w:rsidR="00FE4915">
        <w:t xml:space="preserve"> before coming to an agreement with vendors, as necessary.</w:t>
      </w:r>
    </w:p>
    <w:p w14:paraId="52975943" w14:textId="77777777" w:rsidR="00444113" w:rsidRPr="001F093E" w:rsidRDefault="00444113" w:rsidP="00722BDD">
      <w:pPr>
        <w:pStyle w:val="NormalIndent"/>
      </w:pPr>
    </w:p>
    <w:p w14:paraId="784F3CD6" w14:textId="77777777" w:rsidR="00D61717" w:rsidRPr="00D61717" w:rsidRDefault="005F067C" w:rsidP="00722BDD">
      <w:pPr>
        <w:pStyle w:val="Heading1"/>
      </w:pPr>
      <w:bookmarkStart w:id="14" w:name="_Toc77803084"/>
      <w:r>
        <w:t xml:space="preserve">Summary and </w:t>
      </w:r>
      <w:r w:rsidR="00D61717" w:rsidRPr="00D61717">
        <w:t>Conclusion</w:t>
      </w:r>
      <w:r>
        <w:t>s</w:t>
      </w:r>
      <w:bookmarkEnd w:id="14"/>
    </w:p>
    <w:p w14:paraId="0A672AED" w14:textId="4E27CA50" w:rsidR="00323804" w:rsidRDefault="00323804" w:rsidP="00323804">
      <w:pPr>
        <w:pStyle w:val="NormalIndent"/>
      </w:pPr>
      <w:r>
        <w:t xml:space="preserve">In summary, it is important that Microsoft consider the risks and rewards for adopting products and services from vendors. There are almost always risks associated with adopting a new tool and one must ask themselves if they can trust the vendor to secure any data shared with them. To address these risks, one could transfer the risk, accept the risk, mitigate the risk, or avoid the risk. By avoiding risk, Microsoft would reject the product or vendor. To mitigate the risk, Microsoft could accept the product or vendor and put into place compensating controls to decrease the likelihood of an undesirable outcome. By accepting the risk, they would be deciding that the risk is not high enough to warrant concern or action and then they would accept the product without further controls. By transferring risk, Microsoft could through legal and/or contractual means, have the vendor take responsibility for risks in a legally binding agreement. </w:t>
      </w:r>
      <w:r>
        <w:lastRenderedPageBreak/>
        <w:t xml:space="preserve">Whatever they do, Microsoft must be aware of the risks associated with third-party </w:t>
      </w:r>
      <w:r w:rsidR="00444113">
        <w:t>trust and place thought into their acquisitions and contract renewals.</w:t>
      </w:r>
    </w:p>
    <w:p w14:paraId="0973CE21" w14:textId="7CCAC7FD" w:rsidR="00323804" w:rsidRDefault="00323804" w:rsidP="00323804">
      <w:pPr>
        <w:pStyle w:val="NormalIndent"/>
        <w:sectPr w:rsidR="00323804" w:rsidSect="005B132F">
          <w:pgSz w:w="12240" w:h="15840" w:code="1"/>
          <w:pgMar w:top="1440" w:right="1440" w:bottom="1440" w:left="1440" w:header="720" w:footer="720" w:gutter="0"/>
          <w:cols w:space="720"/>
          <w:docGrid w:linePitch="360"/>
        </w:sectPr>
      </w:pPr>
    </w:p>
    <w:p w14:paraId="3AB7831B" w14:textId="77777777" w:rsidR="004D3014" w:rsidRPr="001F093E" w:rsidRDefault="004D3014" w:rsidP="00722BDD">
      <w:pPr>
        <w:pStyle w:val="Heading1"/>
      </w:pPr>
      <w:bookmarkStart w:id="15" w:name="_Toc77803085"/>
      <w:r w:rsidRPr="00DA54FE">
        <w:lastRenderedPageBreak/>
        <w:t>References</w:t>
      </w:r>
      <w:bookmarkEnd w:id="15"/>
    </w:p>
    <w:p w14:paraId="2F33496D" w14:textId="77777777" w:rsidR="00722BDD" w:rsidRPr="00FF0B19" w:rsidRDefault="00722BDD" w:rsidP="00FF0B19">
      <w:pPr>
        <w:pStyle w:val="NormalWeb"/>
        <w:shd w:val="clear" w:color="auto" w:fill="FFFFFF"/>
        <w:spacing w:before="0" w:beforeAutospacing="0" w:after="0" w:afterAutospacing="0" w:line="480" w:lineRule="auto"/>
        <w:ind w:left="720" w:right="75" w:hanging="720"/>
        <w:rPr>
          <w:color w:val="000000"/>
        </w:rPr>
      </w:pPr>
      <w:proofErr w:type="spellStart"/>
      <w:r w:rsidRPr="00FF0B19">
        <w:rPr>
          <w:color w:val="000000"/>
        </w:rPr>
        <w:t>Brod</w:t>
      </w:r>
      <w:proofErr w:type="spellEnd"/>
      <w:r w:rsidRPr="00FF0B19">
        <w:rPr>
          <w:color w:val="000000"/>
        </w:rPr>
        <w:t>, F. H. (2019). </w:t>
      </w:r>
      <w:r w:rsidRPr="00FF0B19">
        <w:rPr>
          <w:rStyle w:val="Emphasis"/>
        </w:rPr>
        <w:t>Form 10-K 2019</w:t>
      </w:r>
      <w:r w:rsidRPr="00FF0B19">
        <w:rPr>
          <w:color w:val="000000"/>
        </w:rPr>
        <w:t>. </w:t>
      </w:r>
      <w:hyperlink r:id="rId11" w:history="1">
        <w:r w:rsidRPr="00FF0B19">
          <w:rPr>
            <w:rStyle w:val="Hyperlink"/>
            <w:color w:val="000000"/>
          </w:rPr>
          <w:t>https://www.sec.gov/Archives/edgar/data/789019/000156459019027952/msft-10k_20190630.htm</w:t>
        </w:r>
      </w:hyperlink>
    </w:p>
    <w:p w14:paraId="2CD935DF" w14:textId="77777777" w:rsidR="00722BDD" w:rsidRPr="00FF0B19" w:rsidRDefault="00722BDD" w:rsidP="00FF0B19">
      <w:pPr>
        <w:pStyle w:val="NormalWeb"/>
        <w:shd w:val="clear" w:color="auto" w:fill="FFFFFF"/>
        <w:spacing w:before="0" w:beforeAutospacing="0" w:after="0" w:afterAutospacing="0" w:line="480" w:lineRule="auto"/>
        <w:ind w:left="720" w:right="75" w:hanging="720"/>
        <w:rPr>
          <w:color w:val="000000"/>
        </w:rPr>
      </w:pPr>
      <w:r w:rsidRPr="00FF0B19">
        <w:rPr>
          <w:color w:val="000000"/>
        </w:rPr>
        <w:t>Bryk, A. (2020, February 26). </w:t>
      </w:r>
      <w:r w:rsidRPr="00FF0B19">
        <w:rPr>
          <w:rStyle w:val="Emphasis"/>
        </w:rPr>
        <w:t xml:space="preserve">Cloud computing attacks: A new vector for </w:t>
      </w:r>
      <w:proofErr w:type="spellStart"/>
      <w:r w:rsidRPr="00FF0B19">
        <w:rPr>
          <w:rStyle w:val="Emphasis"/>
        </w:rPr>
        <w:t>cyber attacks</w:t>
      </w:r>
      <w:proofErr w:type="spellEnd"/>
      <w:r w:rsidRPr="00FF0B19">
        <w:rPr>
          <w:color w:val="000000"/>
        </w:rPr>
        <w:t>. Apriorit. </w:t>
      </w:r>
      <w:hyperlink r:id="rId12" w:history="1">
        <w:r w:rsidRPr="00FF0B19">
          <w:rPr>
            <w:rStyle w:val="Hyperlink"/>
            <w:color w:val="000000"/>
          </w:rPr>
          <w:t>https://www.apriorit.com/dev-blog/523-cloud-computing-cyber-attacks</w:t>
        </w:r>
      </w:hyperlink>
    </w:p>
    <w:p w14:paraId="23F47166" w14:textId="3E2C8087" w:rsidR="00722BDD" w:rsidRPr="00FF0B19" w:rsidRDefault="00FF0B19" w:rsidP="00FF0B19">
      <w:pPr>
        <w:pStyle w:val="NormalWeb"/>
        <w:shd w:val="clear" w:color="auto" w:fill="FFFFFF"/>
        <w:spacing w:before="0" w:beforeAutospacing="0" w:after="0" w:afterAutospacing="0" w:line="480" w:lineRule="auto"/>
        <w:ind w:left="720" w:right="75" w:hanging="720"/>
        <w:rPr>
          <w:color w:val="000000"/>
        </w:rPr>
      </w:pPr>
      <w:proofErr w:type="spellStart"/>
      <w:r w:rsidRPr="00FF0B19">
        <w:rPr>
          <w:color w:val="000000"/>
          <w:shd w:val="clear" w:color="auto" w:fill="FFFFFF"/>
        </w:rPr>
        <w:t>Bugcrowd</w:t>
      </w:r>
      <w:proofErr w:type="spellEnd"/>
      <w:r w:rsidRPr="00FF0B19">
        <w:rPr>
          <w:color w:val="000000"/>
          <w:shd w:val="clear" w:color="auto" w:fill="FFFFFF"/>
        </w:rPr>
        <w:t>. (2019, March 27). </w:t>
      </w:r>
      <w:r w:rsidRPr="00FF0B19">
        <w:rPr>
          <w:rStyle w:val="Emphasis"/>
          <w:color w:val="000000"/>
          <w:shd w:val="clear" w:color="auto" w:fill="FFFFFF"/>
        </w:rPr>
        <w:t xml:space="preserve">Bug bounty program list - All active programs in 2021 | </w:t>
      </w:r>
      <w:proofErr w:type="spellStart"/>
      <w:r w:rsidRPr="00FF0B19">
        <w:rPr>
          <w:rStyle w:val="Emphasis"/>
          <w:color w:val="000000"/>
          <w:shd w:val="clear" w:color="auto" w:fill="FFFFFF"/>
        </w:rPr>
        <w:t>Bugcrowd</w:t>
      </w:r>
      <w:proofErr w:type="spellEnd"/>
      <w:r w:rsidRPr="00FF0B19">
        <w:rPr>
          <w:color w:val="000000"/>
          <w:shd w:val="clear" w:color="auto" w:fill="FFFFFF"/>
        </w:rPr>
        <w:t>. Retrieved July 19, 2021, from </w:t>
      </w:r>
      <w:hyperlink r:id="rId13" w:history="1">
        <w:r w:rsidRPr="00FF0B19">
          <w:rPr>
            <w:rStyle w:val="Hyperlink"/>
            <w:color w:val="000000"/>
            <w:shd w:val="clear" w:color="auto" w:fill="FFFFFF"/>
          </w:rPr>
          <w:t>https://www.bugcrowd.com/bug-bounty-list/</w:t>
        </w:r>
      </w:hyperlink>
      <w:r w:rsidR="00722BDD" w:rsidRPr="00FF0B19">
        <w:rPr>
          <w:color w:val="000000"/>
        </w:rPr>
        <w:t>CSF Tools. (2021, May 29). </w:t>
      </w:r>
      <w:r w:rsidR="00722BDD" w:rsidRPr="00FF0B19">
        <w:rPr>
          <w:rStyle w:val="Emphasis"/>
        </w:rPr>
        <w:t>CSF version 1.1</w:t>
      </w:r>
      <w:r w:rsidR="00722BDD" w:rsidRPr="00FF0B19">
        <w:rPr>
          <w:color w:val="000000"/>
        </w:rPr>
        <w:t>. </w:t>
      </w:r>
      <w:hyperlink r:id="rId14" w:history="1">
        <w:r w:rsidR="00722BDD" w:rsidRPr="00FF0B19">
          <w:rPr>
            <w:rStyle w:val="Hyperlink"/>
            <w:color w:val="000000"/>
          </w:rPr>
          <w:t>https://csf.tools/reference/nist-cybersecurity-framework/v1-1/</w:t>
        </w:r>
      </w:hyperlink>
    </w:p>
    <w:p w14:paraId="1D108954" w14:textId="7AA6FC26" w:rsidR="00722BDD" w:rsidRPr="00975B1B" w:rsidRDefault="00722BDD" w:rsidP="00975B1B">
      <w:pPr>
        <w:pStyle w:val="NormalWeb"/>
        <w:shd w:val="clear" w:color="auto" w:fill="FFFFFF"/>
        <w:spacing w:before="0" w:beforeAutospacing="0" w:after="0" w:afterAutospacing="0" w:line="480" w:lineRule="auto"/>
        <w:ind w:left="720" w:right="75" w:hanging="720"/>
        <w:rPr>
          <w:color w:val="000000"/>
        </w:rPr>
      </w:pPr>
      <w:r w:rsidRPr="00FF0B19">
        <w:rPr>
          <w:color w:val="000000"/>
        </w:rPr>
        <w:t>D&amp;B Hoovers. (2021). </w:t>
      </w:r>
      <w:proofErr w:type="spellStart"/>
      <w:r w:rsidRPr="00FF0B19">
        <w:rPr>
          <w:rStyle w:val="Emphasis"/>
        </w:rPr>
        <w:t>Onestop</w:t>
      </w:r>
      <w:proofErr w:type="spellEnd"/>
      <w:r w:rsidRPr="00FF0B19">
        <w:rPr>
          <w:rStyle w:val="Emphasis"/>
        </w:rPr>
        <w:t xml:space="preserve"> Report Microsoft Corporation</w:t>
      </w:r>
      <w:r w:rsidRPr="00FF0B19">
        <w:rPr>
          <w:color w:val="000000"/>
        </w:rPr>
        <w:t>. </w:t>
      </w:r>
      <w:hyperlink r:id="rId15" w:history="1">
        <w:r w:rsidRPr="00FF0B19">
          <w:rPr>
            <w:rStyle w:val="Hyperlink"/>
            <w:color w:val="000000"/>
          </w:rPr>
          <w:t>https://app-avention-com.ezproxy.umgc.edu/company/beb446af-bfe3-3775-a1f4-491c4fae4e9b</w:t>
        </w:r>
      </w:hyperlink>
      <w:r w:rsidRPr="00FF0B19">
        <w:rPr>
          <w:color w:val="000000"/>
        </w:rPr>
        <w:br/>
      </w:r>
      <w:r w:rsidRPr="00975B1B">
        <w:rPr>
          <w:color w:val="000000"/>
        </w:rPr>
        <w:t>This URL may require you to log into an account to access the report</w:t>
      </w:r>
    </w:p>
    <w:p w14:paraId="49B1C4FE" w14:textId="77777777" w:rsidR="00975B1B" w:rsidRDefault="00975B1B" w:rsidP="00975B1B">
      <w:pPr>
        <w:pStyle w:val="NormalWeb"/>
        <w:shd w:val="clear" w:color="auto" w:fill="FFFFFF"/>
        <w:spacing w:before="0" w:beforeAutospacing="0" w:after="0" w:afterAutospacing="0" w:line="480" w:lineRule="auto"/>
        <w:ind w:left="720" w:right="75" w:hanging="720"/>
        <w:rPr>
          <w:rFonts w:ascii="Calibri" w:hAnsi="Calibri" w:cs="Calibri"/>
          <w:color w:val="000000"/>
          <w:sz w:val="22"/>
          <w:szCs w:val="22"/>
        </w:rPr>
      </w:pPr>
      <w:r w:rsidRPr="00975B1B">
        <w:rPr>
          <w:color w:val="000000"/>
        </w:rPr>
        <w:t>FireEye. (2020, December 13). </w:t>
      </w:r>
      <w:r w:rsidRPr="00975B1B">
        <w:rPr>
          <w:rStyle w:val="Emphasis"/>
          <w:color w:val="000000"/>
        </w:rPr>
        <w:t>Highly evasive attacker leverages SolarWinds supply chain to compromise multiple global victims with sunburst Backdoor</w:t>
      </w:r>
      <w:r w:rsidRPr="00975B1B">
        <w:rPr>
          <w:color w:val="000000"/>
        </w:rPr>
        <w:t>. Retrieved July 20, 2021, from </w:t>
      </w:r>
      <w:hyperlink r:id="rId16" w:history="1">
        <w:r w:rsidRPr="00975B1B">
          <w:rPr>
            <w:rStyle w:val="Hyperlink"/>
            <w:color w:val="000000"/>
            <w:u w:val="none"/>
          </w:rPr>
          <w:t>https://www.fireeye.com/blog/threat-research/2020/12/evasive-attacker-leverages-solarwinds-supply-chain-compromises-with-sunburst-backdoor.html</w:t>
        </w:r>
      </w:hyperlink>
    </w:p>
    <w:p w14:paraId="3342255E" w14:textId="77777777" w:rsidR="00722BDD" w:rsidRPr="00FF0B19" w:rsidRDefault="00722BDD" w:rsidP="00FF0B19">
      <w:pPr>
        <w:pStyle w:val="NormalWeb"/>
        <w:shd w:val="clear" w:color="auto" w:fill="FFFFFF"/>
        <w:spacing w:before="0" w:beforeAutospacing="0" w:after="0" w:afterAutospacing="0" w:line="480" w:lineRule="auto"/>
        <w:ind w:left="720" w:right="75" w:hanging="720"/>
        <w:rPr>
          <w:color w:val="000000"/>
        </w:rPr>
      </w:pPr>
      <w:r w:rsidRPr="00FF0B19">
        <w:rPr>
          <w:color w:val="1A1A1A"/>
          <w:shd w:val="clear" w:color="auto" w:fill="FFFFFF"/>
        </w:rPr>
        <w:t>Hall, M. and Zachary</w:t>
      </w:r>
      <w:proofErr w:type="gramStart"/>
      <w:r w:rsidRPr="00FF0B19">
        <w:rPr>
          <w:color w:val="1A1A1A"/>
          <w:shd w:val="clear" w:color="auto" w:fill="FFFFFF"/>
        </w:rPr>
        <w:t>, .</w:t>
      </w:r>
      <w:proofErr w:type="gramEnd"/>
      <w:r w:rsidRPr="00FF0B19">
        <w:rPr>
          <w:color w:val="1A1A1A"/>
          <w:shd w:val="clear" w:color="auto" w:fill="FFFFFF"/>
        </w:rPr>
        <w:t xml:space="preserve"> Gregg Pascal (2020, November 12). </w:t>
      </w:r>
      <w:r w:rsidRPr="00FF0B19">
        <w:rPr>
          <w:rStyle w:val="Emphasis"/>
          <w:color w:val="1A1A1A"/>
          <w:shd w:val="clear" w:color="auto" w:fill="FFFFFF"/>
        </w:rPr>
        <w:t>Microsoft Corporation</w:t>
      </w:r>
      <w:r w:rsidRPr="00FF0B19">
        <w:rPr>
          <w:color w:val="1A1A1A"/>
          <w:shd w:val="clear" w:color="auto" w:fill="FFFFFF"/>
        </w:rPr>
        <w:t>. </w:t>
      </w:r>
      <w:r w:rsidRPr="00FF0B19">
        <w:rPr>
          <w:rStyle w:val="Emphasis"/>
          <w:color w:val="1A1A1A"/>
          <w:shd w:val="clear" w:color="auto" w:fill="FFFFFF"/>
        </w:rPr>
        <w:t>Encyclopedia Britannica</w:t>
      </w:r>
      <w:r w:rsidRPr="00FF0B19">
        <w:rPr>
          <w:color w:val="1A1A1A"/>
          <w:shd w:val="clear" w:color="auto" w:fill="FFFFFF"/>
        </w:rPr>
        <w:t>. https://www.britannica.com/topic/Microsoft-Corporation</w:t>
      </w:r>
    </w:p>
    <w:p w14:paraId="22193467" w14:textId="77777777" w:rsidR="00722BDD" w:rsidRPr="00057280" w:rsidRDefault="00722BDD" w:rsidP="00057280">
      <w:pPr>
        <w:pStyle w:val="NormalWeb"/>
        <w:shd w:val="clear" w:color="auto" w:fill="FFFFFF"/>
        <w:spacing w:before="0" w:beforeAutospacing="0" w:after="0" w:afterAutospacing="0" w:line="480" w:lineRule="auto"/>
        <w:ind w:left="720" w:right="75" w:hanging="720"/>
        <w:rPr>
          <w:color w:val="000000"/>
        </w:rPr>
      </w:pPr>
      <w:r w:rsidRPr="00FF0B19">
        <w:rPr>
          <w:color w:val="000000"/>
        </w:rPr>
        <w:t>History</w:t>
      </w:r>
      <w:r w:rsidRPr="00057280">
        <w:rPr>
          <w:color w:val="000000"/>
        </w:rPr>
        <w:t>.com Editors. (2015, October 9). </w:t>
      </w:r>
      <w:r w:rsidRPr="00057280">
        <w:rPr>
          <w:rStyle w:val="Emphasis"/>
        </w:rPr>
        <w:t>Microsoft founded</w:t>
      </w:r>
      <w:r w:rsidRPr="00057280">
        <w:rPr>
          <w:color w:val="000000"/>
        </w:rPr>
        <w:t>. HISTORY. </w:t>
      </w:r>
      <w:hyperlink r:id="rId17" w:history="1">
        <w:r w:rsidRPr="00057280">
          <w:rPr>
            <w:rStyle w:val="Hyperlink"/>
            <w:color w:val="000000"/>
          </w:rPr>
          <w:t>https://www.history.com/this-day-in-history/microsoft-founded</w:t>
        </w:r>
      </w:hyperlink>
    </w:p>
    <w:p w14:paraId="64391D6B" w14:textId="77777777" w:rsidR="00057280" w:rsidRPr="00057280" w:rsidRDefault="00057280" w:rsidP="00057280">
      <w:pPr>
        <w:pStyle w:val="NormalWeb"/>
        <w:shd w:val="clear" w:color="auto" w:fill="FFFFFF"/>
        <w:spacing w:before="0" w:beforeAutospacing="0" w:after="0" w:afterAutospacing="0" w:line="480" w:lineRule="auto"/>
        <w:ind w:left="720" w:right="75" w:hanging="720"/>
        <w:rPr>
          <w:color w:val="000000"/>
        </w:rPr>
      </w:pPr>
      <w:r w:rsidRPr="00057280">
        <w:rPr>
          <w:color w:val="000000"/>
        </w:rPr>
        <w:lastRenderedPageBreak/>
        <w:t xml:space="preserve">Hope, A. (2020, December 24). </w:t>
      </w:r>
      <w:proofErr w:type="spellStart"/>
      <w:r w:rsidRPr="00057280">
        <w:rPr>
          <w:color w:val="000000"/>
        </w:rPr>
        <w:t>Solarwinds</w:t>
      </w:r>
      <w:proofErr w:type="spellEnd"/>
      <w:r w:rsidRPr="00057280">
        <w:rPr>
          <w:color w:val="000000"/>
        </w:rPr>
        <w:t xml:space="preserve"> Backdoor affected 18,000 customers; Microsoft warns 40 actively targeted organizations. </w:t>
      </w:r>
      <w:r w:rsidRPr="00057280">
        <w:rPr>
          <w:rStyle w:val="Emphasis"/>
          <w:color w:val="000000"/>
        </w:rPr>
        <w:t>CPO Magazine</w:t>
      </w:r>
      <w:r w:rsidRPr="00057280">
        <w:rPr>
          <w:color w:val="000000"/>
        </w:rPr>
        <w:t>. </w:t>
      </w:r>
      <w:hyperlink r:id="rId18" w:history="1">
        <w:r w:rsidRPr="00057280">
          <w:rPr>
            <w:rStyle w:val="Hyperlink"/>
            <w:color w:val="000000"/>
            <w:u w:val="none"/>
          </w:rPr>
          <w:t>https://www.cpomagazine.com/cyber-security/solarwinds-backdoor-affected-18000-customers-microsoft-warns-40-actively-targeted-organizations/</w:t>
        </w:r>
      </w:hyperlink>
    </w:p>
    <w:p w14:paraId="7DC3AC00" w14:textId="77777777" w:rsidR="00FF0B19" w:rsidRPr="00057280" w:rsidRDefault="00FF0B19" w:rsidP="00057280">
      <w:pPr>
        <w:pStyle w:val="NormalWeb"/>
        <w:shd w:val="clear" w:color="auto" w:fill="FFFFFF"/>
        <w:spacing w:before="0" w:beforeAutospacing="0" w:after="0" w:afterAutospacing="0" w:line="480" w:lineRule="auto"/>
        <w:ind w:left="720" w:right="75" w:hanging="720"/>
        <w:rPr>
          <w:color w:val="000000"/>
        </w:rPr>
      </w:pPr>
      <w:proofErr w:type="spellStart"/>
      <w:r w:rsidRPr="00057280">
        <w:rPr>
          <w:color w:val="000000"/>
        </w:rPr>
        <w:t>Ironscales</w:t>
      </w:r>
      <w:proofErr w:type="spellEnd"/>
      <w:r w:rsidRPr="00057280">
        <w:rPr>
          <w:color w:val="000000"/>
        </w:rPr>
        <w:t>. (2021). </w:t>
      </w:r>
      <w:r w:rsidRPr="00057280">
        <w:rPr>
          <w:rStyle w:val="Emphasis"/>
          <w:color w:val="000000"/>
        </w:rPr>
        <w:t>Our story</w:t>
      </w:r>
      <w:r w:rsidRPr="00057280">
        <w:rPr>
          <w:color w:val="000000"/>
        </w:rPr>
        <w:t>. </w:t>
      </w:r>
      <w:hyperlink r:id="rId19" w:history="1">
        <w:r w:rsidRPr="00057280">
          <w:rPr>
            <w:rStyle w:val="Hyperlink"/>
            <w:color w:val="000000"/>
            <w:u w:val="none"/>
          </w:rPr>
          <w:t>https://ironscales.com/our-story/</w:t>
        </w:r>
      </w:hyperlink>
    </w:p>
    <w:p w14:paraId="7068B968" w14:textId="77777777" w:rsidR="00FF0B19" w:rsidRPr="00057280" w:rsidRDefault="00FF0B19" w:rsidP="00057280">
      <w:pPr>
        <w:pStyle w:val="NormalWeb"/>
        <w:shd w:val="clear" w:color="auto" w:fill="FFFFFF"/>
        <w:spacing w:before="0" w:beforeAutospacing="0" w:after="0" w:afterAutospacing="0" w:line="480" w:lineRule="auto"/>
        <w:ind w:left="720" w:right="75" w:hanging="720"/>
        <w:rPr>
          <w:color w:val="000000"/>
        </w:rPr>
      </w:pPr>
      <w:r w:rsidRPr="00057280">
        <w:rPr>
          <w:color w:val="000000"/>
        </w:rPr>
        <w:t>Mandiant. (2021). </w:t>
      </w:r>
      <w:r w:rsidRPr="00057280">
        <w:rPr>
          <w:rStyle w:val="Emphasis"/>
          <w:color w:val="000000"/>
        </w:rPr>
        <w:t>Cyber threat intelligence</w:t>
      </w:r>
      <w:r w:rsidRPr="00057280">
        <w:rPr>
          <w:color w:val="000000"/>
        </w:rPr>
        <w:t>. FireEye. Retrieved July 19, 2021, from </w:t>
      </w:r>
      <w:hyperlink r:id="rId20" w:history="1">
        <w:r w:rsidRPr="00057280">
          <w:rPr>
            <w:rStyle w:val="Hyperlink"/>
            <w:color w:val="000000"/>
            <w:u w:val="none"/>
          </w:rPr>
          <w:t>https://www.fireeye.com/mandiant/threat-intelligence.html</w:t>
        </w:r>
      </w:hyperlink>
    </w:p>
    <w:p w14:paraId="3D312044" w14:textId="72C15415" w:rsidR="00722BDD" w:rsidRPr="00057280" w:rsidRDefault="00722BDD" w:rsidP="00057280">
      <w:pPr>
        <w:pStyle w:val="NormalWeb"/>
        <w:shd w:val="clear" w:color="auto" w:fill="FFFFFF"/>
        <w:spacing w:before="0" w:beforeAutospacing="0" w:after="0" w:afterAutospacing="0" w:line="480" w:lineRule="auto"/>
        <w:ind w:left="720" w:right="75" w:hanging="720"/>
        <w:rPr>
          <w:color w:val="000000"/>
        </w:rPr>
      </w:pPr>
      <w:r w:rsidRPr="00057280">
        <w:rPr>
          <w:color w:val="000000"/>
        </w:rPr>
        <w:t>Osborne, C. (2021, March 16). Everything you need to know about the Microsoft exchange server hack. </w:t>
      </w:r>
      <w:r w:rsidRPr="00057280">
        <w:rPr>
          <w:rStyle w:val="Emphasis"/>
        </w:rPr>
        <w:t>ZDNet</w:t>
      </w:r>
      <w:r w:rsidRPr="00057280">
        <w:rPr>
          <w:color w:val="000000"/>
        </w:rPr>
        <w:t>. </w:t>
      </w:r>
      <w:hyperlink r:id="rId21" w:history="1">
        <w:r w:rsidRPr="00057280">
          <w:rPr>
            <w:rStyle w:val="Hyperlink"/>
            <w:color w:val="000000"/>
          </w:rPr>
          <w:t>https://www.zdnet.com/article/everything-you-need-to-know-about-microsoft-exchange-server-hack/</w:t>
        </w:r>
      </w:hyperlink>
    </w:p>
    <w:p w14:paraId="37AFEEBF" w14:textId="77777777" w:rsidR="00722BDD" w:rsidRPr="00F1107F" w:rsidRDefault="00722BDD" w:rsidP="00F1107F">
      <w:pPr>
        <w:pStyle w:val="NormalWeb"/>
        <w:shd w:val="clear" w:color="auto" w:fill="FFFFFF"/>
        <w:spacing w:before="0" w:beforeAutospacing="0" w:after="0" w:afterAutospacing="0" w:line="480" w:lineRule="auto"/>
        <w:ind w:left="720" w:right="75" w:hanging="720"/>
        <w:rPr>
          <w:color w:val="000000"/>
        </w:rPr>
      </w:pPr>
      <w:r w:rsidRPr="00F1107F">
        <w:rPr>
          <w:color w:val="000000"/>
        </w:rPr>
        <w:t>Reciprocity Labs. (n.d.). </w:t>
      </w:r>
      <w:r w:rsidRPr="00F1107F">
        <w:rPr>
          <w:rStyle w:val="Emphasis"/>
        </w:rPr>
        <w:t>Is NIST mandatory?</w:t>
      </w:r>
      <w:r w:rsidRPr="00F1107F">
        <w:rPr>
          <w:color w:val="000000"/>
        </w:rPr>
        <w:t> </w:t>
      </w:r>
      <w:hyperlink r:id="rId22" w:anchor=":~:text=NIST%20compliance%20is%20mandatory%20for%20federal%20agencies%20and,federal%20agencies%2C%20and%20has%20been%20so%20since%202017" w:history="1">
        <w:r w:rsidRPr="00F1107F">
          <w:rPr>
            <w:rStyle w:val="Hyperlink"/>
            <w:color w:val="000000"/>
          </w:rPr>
          <w:t>https://reciprocitylabs.com/resources/is-nist-mandatory/#:~:text=NIST%20compliance%20is%20mandatory%20for%20federal%20agencies%20and,federal%20agencies%2C%20and%20has%20been%20so%20since%202017</w:t>
        </w:r>
      </w:hyperlink>
    </w:p>
    <w:p w14:paraId="60DBD0CC" w14:textId="77777777" w:rsidR="00F1107F" w:rsidRPr="00F1107F" w:rsidRDefault="00F1107F" w:rsidP="00F1107F">
      <w:pPr>
        <w:pStyle w:val="NormalWeb"/>
        <w:shd w:val="clear" w:color="auto" w:fill="FFFFFF"/>
        <w:spacing w:before="0" w:beforeAutospacing="0" w:after="0" w:afterAutospacing="0" w:line="480" w:lineRule="auto"/>
        <w:ind w:left="720" w:right="75" w:hanging="720"/>
        <w:rPr>
          <w:color w:val="000000"/>
        </w:rPr>
      </w:pPr>
      <w:r w:rsidRPr="00F1107F">
        <w:rPr>
          <w:color w:val="000000"/>
        </w:rPr>
        <w:t>Securitas. (2020). </w:t>
      </w:r>
      <w:r w:rsidRPr="00F1107F">
        <w:rPr>
          <w:rStyle w:val="Emphasis"/>
          <w:color w:val="000000"/>
        </w:rPr>
        <w:t>Our organization</w:t>
      </w:r>
      <w:r w:rsidRPr="00F1107F">
        <w:rPr>
          <w:color w:val="000000"/>
        </w:rPr>
        <w:t>. Retrieved July 20, 2021, from </w:t>
      </w:r>
      <w:hyperlink r:id="rId23" w:history="1">
        <w:r w:rsidRPr="00F1107F">
          <w:rPr>
            <w:rStyle w:val="Hyperlink"/>
            <w:color w:val="000000"/>
            <w:u w:val="none"/>
          </w:rPr>
          <w:t>https://www.securitas.com/en/about-us/our-organization/</w:t>
        </w:r>
      </w:hyperlink>
    </w:p>
    <w:p w14:paraId="3EC78E77" w14:textId="77777777" w:rsidR="00722BDD" w:rsidRPr="00F1107F" w:rsidRDefault="00722BDD" w:rsidP="00F1107F">
      <w:pPr>
        <w:pStyle w:val="NormalWeb"/>
        <w:shd w:val="clear" w:color="auto" w:fill="FFFFFF"/>
        <w:spacing w:before="0" w:beforeAutospacing="0" w:after="0" w:afterAutospacing="0" w:line="480" w:lineRule="auto"/>
        <w:ind w:left="720" w:right="75" w:hanging="720"/>
        <w:rPr>
          <w:color w:val="000000"/>
        </w:rPr>
      </w:pPr>
      <w:proofErr w:type="spellStart"/>
      <w:r w:rsidRPr="00F1107F">
        <w:rPr>
          <w:color w:val="000000"/>
        </w:rPr>
        <w:t>Symanovich</w:t>
      </w:r>
      <w:proofErr w:type="spellEnd"/>
      <w:r w:rsidRPr="00F1107F">
        <w:rPr>
          <w:color w:val="000000"/>
        </w:rPr>
        <w:t>, S. (2021, January 23). </w:t>
      </w:r>
      <w:r w:rsidRPr="00F1107F">
        <w:rPr>
          <w:rStyle w:val="Emphasis"/>
        </w:rPr>
        <w:t>5 reasons why general software updates and patches are important</w:t>
      </w:r>
      <w:r w:rsidRPr="00F1107F">
        <w:rPr>
          <w:color w:val="000000"/>
        </w:rPr>
        <w:t>. NortonLifeLock. </w:t>
      </w:r>
      <w:hyperlink r:id="rId24" w:history="1">
        <w:r w:rsidRPr="00F1107F">
          <w:rPr>
            <w:rStyle w:val="Hyperlink"/>
            <w:color w:val="000000"/>
          </w:rPr>
          <w:t>https://us.norton.com/internetsecurity-how-to-the-importance-of-general-software-updates-and-patches.html</w:t>
        </w:r>
      </w:hyperlink>
    </w:p>
    <w:p w14:paraId="56D6BC00" w14:textId="77777777" w:rsidR="00722BDD" w:rsidRPr="00F1107F" w:rsidRDefault="00722BDD" w:rsidP="00F1107F">
      <w:pPr>
        <w:pStyle w:val="NormalWeb"/>
        <w:shd w:val="clear" w:color="auto" w:fill="FFFFFF"/>
        <w:spacing w:before="0" w:beforeAutospacing="0" w:after="0" w:afterAutospacing="0" w:line="480" w:lineRule="auto"/>
        <w:ind w:left="720" w:right="75" w:hanging="720"/>
        <w:rPr>
          <w:color w:val="000000"/>
        </w:rPr>
      </w:pPr>
      <w:r w:rsidRPr="00F1107F">
        <w:rPr>
          <w:color w:val="000000"/>
        </w:rPr>
        <w:t>Tunggal, A. T. (2021, May 25). </w:t>
      </w:r>
      <w:r w:rsidRPr="00F1107F">
        <w:rPr>
          <w:rStyle w:val="Emphasis"/>
        </w:rPr>
        <w:t xml:space="preserve">What is access control? The essential cybersecurity </w:t>
      </w:r>
      <w:proofErr w:type="gramStart"/>
      <w:r w:rsidRPr="00F1107F">
        <w:rPr>
          <w:rStyle w:val="Emphasis"/>
        </w:rPr>
        <w:t>practice</w:t>
      </w:r>
      <w:proofErr w:type="gramEnd"/>
      <w:r w:rsidRPr="00F1107F">
        <w:rPr>
          <w:color w:val="000000"/>
        </w:rPr>
        <w:t xml:space="preserve">. </w:t>
      </w:r>
      <w:proofErr w:type="spellStart"/>
      <w:r w:rsidRPr="00F1107F">
        <w:rPr>
          <w:color w:val="000000"/>
        </w:rPr>
        <w:t>UpGuard</w:t>
      </w:r>
      <w:proofErr w:type="spellEnd"/>
      <w:r w:rsidRPr="00F1107F">
        <w:rPr>
          <w:color w:val="000000"/>
        </w:rPr>
        <w:t>. </w:t>
      </w:r>
      <w:hyperlink r:id="rId25" w:history="1">
        <w:r w:rsidRPr="00F1107F">
          <w:rPr>
            <w:rStyle w:val="Hyperlink"/>
            <w:color w:val="000000"/>
          </w:rPr>
          <w:t>https://www.upguard.com/blog/access-control</w:t>
        </w:r>
      </w:hyperlink>
    </w:p>
    <w:p w14:paraId="36EA18A2" w14:textId="77777777" w:rsidR="000014C3" w:rsidRPr="00FE4915" w:rsidRDefault="000014C3" w:rsidP="00FE4915">
      <w:pPr>
        <w:pStyle w:val="NormalWeb"/>
        <w:shd w:val="clear" w:color="auto" w:fill="FFFFFF"/>
        <w:spacing w:before="0" w:beforeAutospacing="0" w:after="0" w:afterAutospacing="0" w:line="480" w:lineRule="auto"/>
        <w:ind w:left="720" w:right="75" w:hanging="720"/>
        <w:rPr>
          <w:color w:val="000000"/>
        </w:rPr>
      </w:pPr>
      <w:r w:rsidRPr="00F1107F">
        <w:rPr>
          <w:color w:val="000000"/>
        </w:rPr>
        <w:lastRenderedPageBreak/>
        <w:t xml:space="preserve">U.S. </w:t>
      </w:r>
      <w:r w:rsidRPr="00FE4915">
        <w:rPr>
          <w:color w:val="000000"/>
        </w:rPr>
        <w:t>DEPARTMENT OF DEFENSE. (2019, October 25). </w:t>
      </w:r>
      <w:r w:rsidRPr="00FE4915">
        <w:rPr>
          <w:rStyle w:val="Emphasis"/>
        </w:rPr>
        <w:t>Contracts for October 25, 2019</w:t>
      </w:r>
      <w:r w:rsidRPr="00FE4915">
        <w:rPr>
          <w:color w:val="000000"/>
        </w:rPr>
        <w:t>. Retrieved July 5, 2021, from </w:t>
      </w:r>
      <w:hyperlink r:id="rId26" w:history="1">
        <w:r w:rsidRPr="00FE4915">
          <w:rPr>
            <w:rStyle w:val="Hyperlink"/>
            <w:color w:val="000000"/>
          </w:rPr>
          <w:t>https://www.defense.gov/Newsroom/Contracts/Contract/Article/1999639/</w:t>
        </w:r>
      </w:hyperlink>
    </w:p>
    <w:p w14:paraId="69816DE8" w14:textId="77777777" w:rsidR="00FE4915" w:rsidRPr="00FE4915" w:rsidRDefault="00FE4915" w:rsidP="00FE4915">
      <w:pPr>
        <w:pStyle w:val="NormalWeb"/>
        <w:shd w:val="clear" w:color="auto" w:fill="FFFFFF"/>
        <w:spacing w:before="0" w:beforeAutospacing="0" w:after="0" w:afterAutospacing="0" w:line="480" w:lineRule="auto"/>
        <w:ind w:left="720" w:right="75" w:hanging="720"/>
        <w:rPr>
          <w:color w:val="000000"/>
        </w:rPr>
      </w:pPr>
      <w:r w:rsidRPr="00FE4915">
        <w:rPr>
          <w:color w:val="000000"/>
        </w:rPr>
        <w:t>Winger, K. (n.d.). </w:t>
      </w:r>
      <w:r w:rsidRPr="00FE4915">
        <w:rPr>
          <w:rStyle w:val="Emphasis"/>
          <w:color w:val="000000"/>
        </w:rPr>
        <w:t>Cybersecurity and data breaches from a business lawyer’s perspective</w:t>
      </w:r>
      <w:r w:rsidRPr="00FE4915">
        <w:rPr>
          <w:color w:val="000000"/>
        </w:rPr>
        <w:t> [Introduction]. GSX. </w:t>
      </w:r>
      <w:hyperlink r:id="rId27" w:history="1">
        <w:r w:rsidRPr="00FE4915">
          <w:rPr>
            <w:rStyle w:val="Hyperlink"/>
            <w:color w:val="000000"/>
            <w:u w:val="none"/>
          </w:rPr>
          <w:t>https://www.gsx.org/gsx-blog/can-you-be-liable-for-your-vendors-data-breach/</w:t>
        </w:r>
      </w:hyperlink>
    </w:p>
    <w:p w14:paraId="46E28928" w14:textId="77777777" w:rsidR="001D5854" w:rsidRPr="00FE4915" w:rsidRDefault="001D5854" w:rsidP="00FE4915">
      <w:pPr>
        <w:spacing w:line="480" w:lineRule="auto"/>
        <w:rPr>
          <w:szCs w:val="24"/>
        </w:rPr>
      </w:pPr>
    </w:p>
    <w:p w14:paraId="0CB2819F" w14:textId="77777777" w:rsidR="00F1107F" w:rsidRPr="00FE4915" w:rsidRDefault="00F1107F" w:rsidP="00FE4915">
      <w:pPr>
        <w:spacing w:line="480" w:lineRule="auto"/>
        <w:rPr>
          <w:szCs w:val="24"/>
        </w:rPr>
      </w:pPr>
    </w:p>
    <w:sectPr w:rsidR="00F1107F" w:rsidRPr="00FE4915" w:rsidSect="00AD7CD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14AB" w14:textId="77777777" w:rsidR="002B74E9" w:rsidRDefault="002B74E9">
      <w:r>
        <w:separator/>
      </w:r>
    </w:p>
  </w:endnote>
  <w:endnote w:type="continuationSeparator" w:id="0">
    <w:p w14:paraId="1C4A050C" w14:textId="77777777" w:rsidR="002B74E9" w:rsidRDefault="002B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A914" w14:textId="77777777" w:rsidR="00AD7CDF" w:rsidRDefault="00AD7CDF">
    <w:pPr>
      <w:pStyle w:val="Footer"/>
      <w:jc w:val="center"/>
    </w:pPr>
  </w:p>
  <w:p w14:paraId="14343ABC" w14:textId="77777777" w:rsidR="00AD7CDF" w:rsidRDefault="00AD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CE1E" w14:textId="77777777" w:rsidR="002B74E9" w:rsidRDefault="002B74E9">
      <w:r>
        <w:separator/>
      </w:r>
    </w:p>
  </w:footnote>
  <w:footnote w:type="continuationSeparator" w:id="0">
    <w:p w14:paraId="63FFACCF" w14:textId="77777777" w:rsidR="002B74E9" w:rsidRDefault="002B7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7129" w14:textId="78C278EF" w:rsidR="00553F9A" w:rsidRDefault="00444113" w:rsidP="00444113">
    <w:pPr>
      <w:pStyle w:val="Header"/>
      <w:tabs>
        <w:tab w:val="clear" w:pos="4320"/>
        <w:tab w:val="clear" w:pos="8640"/>
        <w:tab w:val="left" w:pos="7590"/>
      </w:tabs>
      <w:rPr>
        <w:noProof/>
      </w:rPr>
    </w:pPr>
    <w:r>
      <w:t xml:space="preserve">Running head: </w:t>
    </w:r>
    <w:r>
      <w:rPr>
        <w:color w:val="auto"/>
      </w:rPr>
      <w:t>Acquisition Risk Analysis</w:t>
    </w:r>
    <w:r>
      <w:tab/>
    </w:r>
    <w:r>
      <w:tab/>
    </w:r>
    <w:r>
      <w:tab/>
    </w:r>
    <w:r w:rsidR="00683FFA">
      <w:fldChar w:fldCharType="begin"/>
    </w:r>
    <w:r w:rsidR="00683FFA">
      <w:instrText xml:space="preserve"> PAGE   \* MERGEFORMAT </w:instrText>
    </w:r>
    <w:r w:rsidR="00683FFA">
      <w:fldChar w:fldCharType="separate"/>
    </w:r>
    <w:r w:rsidR="00053115">
      <w:rPr>
        <w:noProof/>
      </w:rPr>
      <w:t>2</w:t>
    </w:r>
    <w:r w:rsidR="00683FFA">
      <w:rPr>
        <w:noProof/>
      </w:rPr>
      <w:fldChar w:fldCharType="end"/>
    </w:r>
  </w:p>
  <w:p w14:paraId="57A6673A" w14:textId="77777777" w:rsidR="00444113" w:rsidRDefault="00444113" w:rsidP="00444113">
    <w:pPr>
      <w:pStyle w:val="Header"/>
      <w:tabs>
        <w:tab w:val="clear" w:pos="4320"/>
        <w:tab w:val="clear" w:pos="8640"/>
        <w:tab w:val="left" w:pos="75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A1FE" w14:textId="5A801825" w:rsidR="00AD7CDF" w:rsidRDefault="00553F9A">
    <w:pPr>
      <w:pStyle w:val="Header"/>
    </w:pPr>
    <w:r>
      <w:rPr>
        <w:color w:val="auto"/>
      </w:rPr>
      <w:t xml:space="preserve">Running head: </w:t>
    </w:r>
    <w:r w:rsidR="00444113">
      <w:rPr>
        <w:color w:val="auto"/>
      </w:rPr>
      <w:t>Acquisition Risk Analysis</w:t>
    </w:r>
    <w:r w:rsidR="005B132F">
      <w:rPr>
        <w:color w:val="auto"/>
      </w:rPr>
      <w:tab/>
    </w:r>
    <w:r w:rsidR="005B132F">
      <w:rPr>
        <w:color w:val="auto"/>
      </w:rPr>
      <w:tab/>
    </w:r>
    <w:r w:rsidR="005B132F" w:rsidRPr="005B132F">
      <w:rPr>
        <w:color w:val="auto"/>
      </w:rPr>
      <w:fldChar w:fldCharType="begin"/>
    </w:r>
    <w:r w:rsidR="005B132F" w:rsidRPr="005B132F">
      <w:rPr>
        <w:color w:val="auto"/>
      </w:rPr>
      <w:instrText xml:space="preserve"> PAGE   \* MERGEFORMAT </w:instrText>
    </w:r>
    <w:r w:rsidR="005B132F" w:rsidRPr="005B132F">
      <w:rPr>
        <w:color w:val="auto"/>
      </w:rPr>
      <w:fldChar w:fldCharType="separate"/>
    </w:r>
    <w:r w:rsidR="00053115">
      <w:rPr>
        <w:noProof/>
        <w:color w:val="auto"/>
      </w:rPr>
      <w:t>1</w:t>
    </w:r>
    <w:r w:rsidR="005B132F" w:rsidRPr="005B132F">
      <w:rPr>
        <w:color w:val="auto"/>
      </w:rPr>
      <w:fldChar w:fldCharType="end"/>
    </w:r>
  </w:p>
  <w:p w14:paraId="6B8E7100" w14:textId="77777777" w:rsidR="0024669F" w:rsidRDefault="0024669F" w:rsidP="00554119">
    <w:pPr>
      <w:pStyle w:val="Header"/>
      <w:tabs>
        <w:tab w:val="clear" w:pos="8640"/>
        <w:tab w:val="right" w:pos="87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40D3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0B2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8800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C63B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8E74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78B2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6A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568A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F896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62AE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7C"/>
    <w:rsid w:val="000014C3"/>
    <w:rsid w:val="00004E84"/>
    <w:rsid w:val="00042091"/>
    <w:rsid w:val="00042DF8"/>
    <w:rsid w:val="00053115"/>
    <w:rsid w:val="0005557E"/>
    <w:rsid w:val="00057280"/>
    <w:rsid w:val="00083425"/>
    <w:rsid w:val="000F756B"/>
    <w:rsid w:val="001130FA"/>
    <w:rsid w:val="00120166"/>
    <w:rsid w:val="001A25FD"/>
    <w:rsid w:val="001B4725"/>
    <w:rsid w:val="001D5854"/>
    <w:rsid w:val="001F093E"/>
    <w:rsid w:val="00200FC9"/>
    <w:rsid w:val="002363EE"/>
    <w:rsid w:val="0024669F"/>
    <w:rsid w:val="002B57B5"/>
    <w:rsid w:val="002B74AC"/>
    <w:rsid w:val="002B74E9"/>
    <w:rsid w:val="002C41E3"/>
    <w:rsid w:val="002D754D"/>
    <w:rsid w:val="002E2E23"/>
    <w:rsid w:val="00323804"/>
    <w:rsid w:val="00377E73"/>
    <w:rsid w:val="00380309"/>
    <w:rsid w:val="00380747"/>
    <w:rsid w:val="00390129"/>
    <w:rsid w:val="00390205"/>
    <w:rsid w:val="003A2407"/>
    <w:rsid w:val="003F3F63"/>
    <w:rsid w:val="00400A5A"/>
    <w:rsid w:val="00402FFC"/>
    <w:rsid w:val="00431A12"/>
    <w:rsid w:val="00444113"/>
    <w:rsid w:val="00450CFF"/>
    <w:rsid w:val="004607A8"/>
    <w:rsid w:val="00467C83"/>
    <w:rsid w:val="004A4779"/>
    <w:rsid w:val="004D3014"/>
    <w:rsid w:val="00520200"/>
    <w:rsid w:val="00553F9A"/>
    <w:rsid w:val="00554119"/>
    <w:rsid w:val="00567D9D"/>
    <w:rsid w:val="00572052"/>
    <w:rsid w:val="00572C79"/>
    <w:rsid w:val="005935CF"/>
    <w:rsid w:val="005B132F"/>
    <w:rsid w:val="005B7FA0"/>
    <w:rsid w:val="005F067C"/>
    <w:rsid w:val="005F2411"/>
    <w:rsid w:val="005F6164"/>
    <w:rsid w:val="006823A4"/>
    <w:rsid w:val="00683FFA"/>
    <w:rsid w:val="00693A03"/>
    <w:rsid w:val="006B76DB"/>
    <w:rsid w:val="006F5309"/>
    <w:rsid w:val="00722BDD"/>
    <w:rsid w:val="007701FF"/>
    <w:rsid w:val="007A7F54"/>
    <w:rsid w:val="007B79BD"/>
    <w:rsid w:val="007C1158"/>
    <w:rsid w:val="007D3B14"/>
    <w:rsid w:val="007F67EB"/>
    <w:rsid w:val="00867E55"/>
    <w:rsid w:val="008C453F"/>
    <w:rsid w:val="008E509F"/>
    <w:rsid w:val="00923B8C"/>
    <w:rsid w:val="0094016F"/>
    <w:rsid w:val="00962AFA"/>
    <w:rsid w:val="00975B1B"/>
    <w:rsid w:val="00977BA6"/>
    <w:rsid w:val="00993550"/>
    <w:rsid w:val="009A6064"/>
    <w:rsid w:val="00A305AE"/>
    <w:rsid w:val="00A5378C"/>
    <w:rsid w:val="00A661AE"/>
    <w:rsid w:val="00A76ACD"/>
    <w:rsid w:val="00A95C72"/>
    <w:rsid w:val="00AA7456"/>
    <w:rsid w:val="00AB4933"/>
    <w:rsid w:val="00AC7F49"/>
    <w:rsid w:val="00AD5A80"/>
    <w:rsid w:val="00AD7CDF"/>
    <w:rsid w:val="00AF6795"/>
    <w:rsid w:val="00B13707"/>
    <w:rsid w:val="00B138DA"/>
    <w:rsid w:val="00B15DAD"/>
    <w:rsid w:val="00B33F49"/>
    <w:rsid w:val="00B42FE2"/>
    <w:rsid w:val="00B454B7"/>
    <w:rsid w:val="00B50A56"/>
    <w:rsid w:val="00B57F90"/>
    <w:rsid w:val="00B94611"/>
    <w:rsid w:val="00BB0A7A"/>
    <w:rsid w:val="00BB57E8"/>
    <w:rsid w:val="00C001B6"/>
    <w:rsid w:val="00C143E8"/>
    <w:rsid w:val="00C305D2"/>
    <w:rsid w:val="00C33064"/>
    <w:rsid w:val="00C66B51"/>
    <w:rsid w:val="00C70201"/>
    <w:rsid w:val="00C81BE1"/>
    <w:rsid w:val="00C952E3"/>
    <w:rsid w:val="00CD6A76"/>
    <w:rsid w:val="00CE2997"/>
    <w:rsid w:val="00D13A77"/>
    <w:rsid w:val="00D35BEF"/>
    <w:rsid w:val="00D61717"/>
    <w:rsid w:val="00D71674"/>
    <w:rsid w:val="00D72D77"/>
    <w:rsid w:val="00D85B6A"/>
    <w:rsid w:val="00DA54FE"/>
    <w:rsid w:val="00DB3D7C"/>
    <w:rsid w:val="00DC2CDB"/>
    <w:rsid w:val="00E2323C"/>
    <w:rsid w:val="00E26E9D"/>
    <w:rsid w:val="00E554E8"/>
    <w:rsid w:val="00EB6A5D"/>
    <w:rsid w:val="00EC182F"/>
    <w:rsid w:val="00F00B2E"/>
    <w:rsid w:val="00F1107F"/>
    <w:rsid w:val="00F403F2"/>
    <w:rsid w:val="00F571CA"/>
    <w:rsid w:val="00FA7F58"/>
    <w:rsid w:val="00FE33AC"/>
    <w:rsid w:val="00FE4915"/>
    <w:rsid w:val="00FF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F08DD"/>
  <w15:docId w15:val="{BD990C8E-05E4-48B6-A12A-DCCCCBFF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B8C"/>
    <w:rPr>
      <w:rFonts w:ascii="Times New Roman" w:hAnsi="Times New Roman"/>
      <w:color w:val="000000"/>
      <w:sz w:val="24"/>
    </w:rPr>
  </w:style>
  <w:style w:type="paragraph" w:styleId="Heading1">
    <w:name w:val="heading 1"/>
    <w:basedOn w:val="Normal"/>
    <w:next w:val="NormalIndent"/>
    <w:link w:val="Heading1Char"/>
    <w:qFormat/>
    <w:rsid w:val="001F093E"/>
    <w:pPr>
      <w:spacing w:line="480" w:lineRule="auto"/>
      <w:jc w:val="center"/>
      <w:outlineLvl w:val="0"/>
    </w:pPr>
    <w:rPr>
      <w:b/>
    </w:rPr>
  </w:style>
  <w:style w:type="paragraph" w:styleId="Heading2">
    <w:name w:val="heading 2"/>
    <w:basedOn w:val="Normal"/>
    <w:next w:val="NormalIndent"/>
    <w:link w:val="Heading2Char"/>
    <w:qFormat/>
    <w:rsid w:val="005F067C"/>
    <w:pPr>
      <w:keepNext/>
      <w:keepLines/>
      <w:spacing w:line="480" w:lineRule="auto"/>
      <w:outlineLvl w:val="1"/>
    </w:pPr>
    <w:rPr>
      <w:b/>
    </w:rPr>
  </w:style>
  <w:style w:type="paragraph" w:styleId="Heading3">
    <w:name w:val="heading 3"/>
    <w:basedOn w:val="Normal"/>
    <w:next w:val="NormalIndent"/>
    <w:link w:val="Heading3Char"/>
    <w:semiHidden/>
    <w:unhideWhenUsed/>
    <w:qFormat/>
    <w:rsid w:val="00A95C72"/>
    <w:pPr>
      <w:keepNext/>
      <w:keepLines/>
      <w:spacing w:line="480" w:lineRule="auto"/>
      <w:ind w:left="720"/>
      <w:outlineLvl w:val="2"/>
    </w:pPr>
    <w:rPr>
      <w:b/>
      <w:bCs/>
    </w:rPr>
  </w:style>
  <w:style w:type="paragraph" w:styleId="Heading4">
    <w:name w:val="heading 4"/>
    <w:basedOn w:val="Normal"/>
    <w:next w:val="NormalIndent"/>
    <w:link w:val="Heading4Char"/>
    <w:semiHidden/>
    <w:unhideWhenUsed/>
    <w:qFormat/>
    <w:rsid w:val="00A95C72"/>
    <w:pPr>
      <w:keepNext/>
      <w:keepLines/>
      <w:spacing w:line="480" w:lineRule="auto"/>
      <w:ind w:left="720"/>
      <w:outlineLvl w:val="3"/>
    </w:pPr>
    <w:rPr>
      <w:b/>
      <w:bCs/>
      <w:i/>
      <w:iCs/>
    </w:rPr>
  </w:style>
  <w:style w:type="paragraph" w:styleId="Heading5">
    <w:name w:val="heading 5"/>
    <w:basedOn w:val="Normal"/>
    <w:next w:val="Normal"/>
    <w:link w:val="Heading5Char"/>
    <w:semiHidden/>
    <w:unhideWhenUsed/>
    <w:qFormat/>
    <w:rsid w:val="00A95C72"/>
    <w:pPr>
      <w:keepNext/>
      <w:keepLines/>
      <w:spacing w:line="480" w:lineRule="auto"/>
      <w:ind w:left="720"/>
      <w:outlineLvl w:val="4"/>
    </w:pPr>
    <w:rPr>
      <w:i/>
    </w:rPr>
  </w:style>
  <w:style w:type="paragraph" w:styleId="Heading6">
    <w:name w:val="heading 6"/>
    <w:basedOn w:val="Normal"/>
    <w:next w:val="Normal"/>
    <w:link w:val="Heading6Char"/>
    <w:semiHidden/>
    <w:unhideWhenUsed/>
    <w:qFormat/>
    <w:rsid w:val="005F067C"/>
    <w:pPr>
      <w:keepNext/>
      <w:keepLines/>
      <w:spacing w:before="200"/>
      <w:outlineLvl w:val="5"/>
    </w:pPr>
    <w:rPr>
      <w:rFonts w:ascii="Cambria" w:hAnsi="Cambria"/>
      <w:i/>
      <w:iCs/>
    </w:rPr>
  </w:style>
  <w:style w:type="paragraph" w:styleId="Heading7">
    <w:name w:val="heading 7"/>
    <w:basedOn w:val="Normal"/>
    <w:next w:val="Normal"/>
    <w:link w:val="Heading7Char"/>
    <w:semiHidden/>
    <w:unhideWhenUsed/>
    <w:qFormat/>
    <w:rsid w:val="005F067C"/>
    <w:pPr>
      <w:keepNext/>
      <w:keepLines/>
      <w:spacing w:before="200"/>
      <w:outlineLvl w:val="6"/>
    </w:pPr>
    <w:rPr>
      <w:rFonts w:ascii="Cambria" w:hAnsi="Cambria"/>
      <w:i/>
      <w:iCs/>
    </w:rPr>
  </w:style>
  <w:style w:type="paragraph" w:styleId="Heading8">
    <w:name w:val="heading 8"/>
    <w:basedOn w:val="Normal"/>
    <w:next w:val="Normal"/>
    <w:link w:val="Heading8Char"/>
    <w:semiHidden/>
    <w:unhideWhenUsed/>
    <w:qFormat/>
    <w:rsid w:val="005F067C"/>
    <w:pPr>
      <w:keepNext/>
      <w:keepLines/>
      <w:spacing w:before="200"/>
      <w:outlineLvl w:val="7"/>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style>
  <w:style w:type="paragraph" w:styleId="Header">
    <w:name w:val="header"/>
    <w:basedOn w:val="Normal"/>
    <w:link w:val="HeaderChar"/>
    <w:uiPriority w:val="99"/>
    <w:rsid w:val="00CE2997"/>
    <w:pPr>
      <w:tabs>
        <w:tab w:val="center" w:pos="4320"/>
        <w:tab w:val="right" w:pos="8640"/>
      </w:tabs>
    </w:pPr>
  </w:style>
  <w:style w:type="character" w:styleId="PageNumber">
    <w:name w:val="page number"/>
    <w:basedOn w:val="DefaultParagraphFont"/>
    <w:rsid w:val="00CE2997"/>
  </w:style>
  <w:style w:type="character" w:styleId="Hyperlink">
    <w:name w:val="Hyperlink"/>
    <w:uiPriority w:val="99"/>
    <w:rsid w:val="00CE2997"/>
    <w:rPr>
      <w:color w:val="0000FF"/>
      <w:u w:val="single"/>
    </w:rPr>
  </w:style>
  <w:style w:type="character" w:customStyle="1" w:styleId="Heading1Char">
    <w:name w:val="Heading 1 Char"/>
    <w:link w:val="Heading1"/>
    <w:rsid w:val="00053115"/>
    <w:rPr>
      <w:rFonts w:ascii="Times New Roman" w:hAnsi="Times New Roman"/>
      <w:b/>
      <w:color w:val="000000"/>
      <w:sz w:val="24"/>
    </w:rPr>
  </w:style>
  <w:style w:type="paragraph" w:styleId="Footer">
    <w:name w:val="footer"/>
    <w:basedOn w:val="Normal"/>
    <w:link w:val="FooterChar"/>
    <w:uiPriority w:val="99"/>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NormalIndent"/>
    <w:rsid w:val="00923B8C"/>
    <w:pPr>
      <w:ind w:left="720" w:hanging="720"/>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link w:val="BalloonText"/>
    <w:rsid w:val="00D61717"/>
    <w:rPr>
      <w:rFonts w:ascii="Tahoma" w:hAnsi="Tahoma" w:cs="Tahoma"/>
      <w:sz w:val="16"/>
      <w:szCs w:val="16"/>
    </w:rPr>
  </w:style>
  <w:style w:type="character" w:customStyle="1" w:styleId="Heading3Char">
    <w:name w:val="Heading 3 Char"/>
    <w:link w:val="Heading3"/>
    <w:semiHidden/>
    <w:rsid w:val="00A95C72"/>
    <w:rPr>
      <w:rFonts w:ascii="Times New Roman" w:eastAsia="Times New Roman" w:hAnsi="Times New Roman" w:cs="Times New Roman"/>
      <w:b/>
      <w:bCs/>
      <w:color w:val="000000"/>
      <w:sz w:val="24"/>
    </w:rPr>
  </w:style>
  <w:style w:type="character" w:customStyle="1" w:styleId="Heading4Char">
    <w:name w:val="Heading 4 Char"/>
    <w:link w:val="Heading4"/>
    <w:semiHidden/>
    <w:rsid w:val="00A95C72"/>
    <w:rPr>
      <w:rFonts w:ascii="Times New Roman" w:eastAsia="Times New Roman" w:hAnsi="Times New Roman" w:cs="Times New Roman"/>
      <w:b/>
      <w:bCs/>
      <w:i/>
      <w:iCs/>
      <w:color w:val="000000"/>
      <w:sz w:val="24"/>
    </w:rPr>
  </w:style>
  <w:style w:type="character" w:customStyle="1" w:styleId="Heading5Char">
    <w:name w:val="Heading 5 Char"/>
    <w:link w:val="Heading5"/>
    <w:semiHidden/>
    <w:rsid w:val="00A95C72"/>
    <w:rPr>
      <w:rFonts w:ascii="Times New Roman" w:eastAsia="Times New Roman" w:hAnsi="Times New Roman" w:cs="Times New Roman"/>
      <w:i/>
      <w:color w:val="000000"/>
      <w:sz w:val="24"/>
    </w:rPr>
  </w:style>
  <w:style w:type="character" w:customStyle="1" w:styleId="Heading6Char">
    <w:name w:val="Heading 6 Char"/>
    <w:link w:val="Heading6"/>
    <w:semiHidden/>
    <w:rsid w:val="005F067C"/>
    <w:rPr>
      <w:rFonts w:ascii="Cambria" w:eastAsia="Times New Roman" w:hAnsi="Cambria" w:cs="Times New Roman"/>
      <w:i/>
      <w:iCs/>
      <w:color w:val="000000"/>
      <w:sz w:val="24"/>
    </w:rPr>
  </w:style>
  <w:style w:type="character" w:customStyle="1" w:styleId="Heading7Char">
    <w:name w:val="Heading 7 Char"/>
    <w:link w:val="Heading7"/>
    <w:semiHidden/>
    <w:rsid w:val="005F067C"/>
    <w:rPr>
      <w:rFonts w:ascii="Cambria" w:eastAsia="Times New Roman" w:hAnsi="Cambria" w:cs="Times New Roman"/>
      <w:i/>
      <w:iCs/>
      <w:color w:val="000000"/>
      <w:sz w:val="24"/>
    </w:rPr>
  </w:style>
  <w:style w:type="character" w:customStyle="1" w:styleId="Heading8Char">
    <w:name w:val="Heading 8 Char"/>
    <w:link w:val="Heading8"/>
    <w:semiHidden/>
    <w:rsid w:val="005F067C"/>
    <w:rPr>
      <w:rFonts w:ascii="Cambria" w:eastAsia="Times New Roman" w:hAnsi="Cambria" w:cs="Times New Roman"/>
      <w:color w:val="000000"/>
    </w:rPr>
  </w:style>
  <w:style w:type="paragraph" w:styleId="NormalIndent">
    <w:name w:val="Normal Indent"/>
    <w:basedOn w:val="Normal"/>
    <w:rsid w:val="00923B8C"/>
    <w:pPr>
      <w:spacing w:line="480" w:lineRule="auto"/>
      <w:ind w:firstLine="720"/>
    </w:pPr>
  </w:style>
  <w:style w:type="paragraph" w:styleId="Title">
    <w:name w:val="Title"/>
    <w:basedOn w:val="Normal"/>
    <w:next w:val="Normal"/>
    <w:link w:val="TitleChar"/>
    <w:qFormat/>
    <w:rsid w:val="005F067C"/>
    <w:pPr>
      <w:pBdr>
        <w:bottom w:val="single" w:sz="8" w:space="4" w:color="4F81BD"/>
      </w:pBdr>
      <w:spacing w:after="300"/>
      <w:contextualSpacing/>
    </w:pPr>
    <w:rPr>
      <w:rFonts w:ascii="Cambria" w:hAnsi="Cambria"/>
      <w:spacing w:val="5"/>
      <w:kern w:val="28"/>
      <w:sz w:val="52"/>
      <w:szCs w:val="52"/>
    </w:rPr>
  </w:style>
  <w:style w:type="character" w:customStyle="1" w:styleId="TitleChar">
    <w:name w:val="Title Char"/>
    <w:link w:val="Title"/>
    <w:rsid w:val="005F067C"/>
    <w:rPr>
      <w:rFonts w:ascii="Cambria" w:eastAsia="Times New Roman" w:hAnsi="Cambria" w:cs="Times New Roman"/>
      <w:color w:val="000000"/>
      <w:spacing w:val="5"/>
      <w:kern w:val="28"/>
      <w:sz w:val="52"/>
      <w:szCs w:val="52"/>
    </w:rPr>
  </w:style>
  <w:style w:type="paragraph" w:styleId="Subtitle">
    <w:name w:val="Subtitle"/>
    <w:basedOn w:val="Normal"/>
    <w:next w:val="Normal"/>
    <w:link w:val="SubtitleChar"/>
    <w:qFormat/>
    <w:rsid w:val="005F067C"/>
    <w:pPr>
      <w:numPr>
        <w:ilvl w:val="1"/>
      </w:numPr>
    </w:pPr>
    <w:rPr>
      <w:rFonts w:ascii="Cambria" w:hAnsi="Cambria"/>
      <w:i/>
      <w:iCs/>
      <w:spacing w:val="15"/>
      <w:szCs w:val="24"/>
    </w:rPr>
  </w:style>
  <w:style w:type="character" w:customStyle="1" w:styleId="SubtitleChar">
    <w:name w:val="Subtitle Char"/>
    <w:link w:val="Subtitle"/>
    <w:rsid w:val="005F067C"/>
    <w:rPr>
      <w:rFonts w:ascii="Cambria" w:eastAsia="Times New Roman" w:hAnsi="Cambria" w:cs="Times New Roman"/>
      <w:i/>
      <w:iCs/>
      <w:color w:val="000000"/>
      <w:spacing w:val="15"/>
      <w:sz w:val="24"/>
      <w:szCs w:val="24"/>
    </w:rPr>
  </w:style>
  <w:style w:type="paragraph" w:styleId="Caption">
    <w:name w:val="caption"/>
    <w:basedOn w:val="Normal"/>
    <w:next w:val="Normal"/>
    <w:semiHidden/>
    <w:unhideWhenUsed/>
    <w:qFormat/>
    <w:rsid w:val="005F067C"/>
    <w:pPr>
      <w:spacing w:after="200"/>
    </w:pPr>
    <w:rPr>
      <w:b/>
      <w:bCs/>
      <w:sz w:val="18"/>
      <w:szCs w:val="18"/>
    </w:rPr>
  </w:style>
  <w:style w:type="paragraph" w:customStyle="1" w:styleId="PaperTitle">
    <w:name w:val="Paper Title"/>
    <w:basedOn w:val="Heading1"/>
    <w:rsid w:val="001F093E"/>
    <w:pPr>
      <w:spacing w:before="5640"/>
    </w:pPr>
    <w:rPr>
      <w:bCs/>
    </w:rPr>
  </w:style>
  <w:style w:type="character" w:customStyle="1" w:styleId="HeaderChar">
    <w:name w:val="Header Char"/>
    <w:link w:val="Header"/>
    <w:uiPriority w:val="99"/>
    <w:rsid w:val="00AD7CDF"/>
    <w:rPr>
      <w:rFonts w:ascii="Times New Roman" w:hAnsi="Times New Roman"/>
      <w:color w:val="000000"/>
      <w:sz w:val="24"/>
    </w:rPr>
  </w:style>
  <w:style w:type="character" w:customStyle="1" w:styleId="FooterChar">
    <w:name w:val="Footer Char"/>
    <w:link w:val="Footer"/>
    <w:uiPriority w:val="99"/>
    <w:rsid w:val="00AD7CDF"/>
    <w:rPr>
      <w:color w:val="000000"/>
      <w:sz w:val="24"/>
    </w:rPr>
  </w:style>
  <w:style w:type="character" w:customStyle="1" w:styleId="Heading2Char">
    <w:name w:val="Heading 2 Char"/>
    <w:basedOn w:val="DefaultParagraphFont"/>
    <w:link w:val="Heading2"/>
    <w:rsid w:val="00C33064"/>
    <w:rPr>
      <w:rFonts w:ascii="Times New Roman" w:hAnsi="Times New Roman"/>
      <w:b/>
      <w:color w:val="000000"/>
      <w:sz w:val="24"/>
    </w:rPr>
  </w:style>
  <w:style w:type="paragraph" w:styleId="NormalWeb">
    <w:name w:val="Normal (Web)"/>
    <w:basedOn w:val="Normal"/>
    <w:uiPriority w:val="99"/>
    <w:unhideWhenUsed/>
    <w:rsid w:val="00722BDD"/>
    <w:pPr>
      <w:spacing w:before="100" w:beforeAutospacing="1" w:after="100" w:afterAutospacing="1"/>
    </w:pPr>
    <w:rPr>
      <w:color w:val="auto"/>
      <w:szCs w:val="24"/>
    </w:rPr>
  </w:style>
  <w:style w:type="character" w:styleId="Emphasis">
    <w:name w:val="Emphasis"/>
    <w:basedOn w:val="DefaultParagraphFont"/>
    <w:uiPriority w:val="20"/>
    <w:qFormat/>
    <w:rsid w:val="00722BDD"/>
    <w:rPr>
      <w:i/>
      <w:iCs/>
    </w:rPr>
  </w:style>
  <w:style w:type="paragraph" w:styleId="TOCHeading">
    <w:name w:val="TOC Heading"/>
    <w:basedOn w:val="Heading1"/>
    <w:next w:val="Normal"/>
    <w:uiPriority w:val="39"/>
    <w:unhideWhenUsed/>
    <w:qFormat/>
    <w:rsid w:val="00444113"/>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44113"/>
    <w:pPr>
      <w:spacing w:after="100"/>
    </w:pPr>
  </w:style>
  <w:style w:type="paragraph" w:styleId="TOC2">
    <w:name w:val="toc 2"/>
    <w:basedOn w:val="Normal"/>
    <w:next w:val="Normal"/>
    <w:autoRedefine/>
    <w:uiPriority w:val="39"/>
    <w:unhideWhenUsed/>
    <w:rsid w:val="004441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863">
      <w:bodyDiv w:val="1"/>
      <w:marLeft w:val="0"/>
      <w:marRight w:val="0"/>
      <w:marTop w:val="0"/>
      <w:marBottom w:val="0"/>
      <w:divBdr>
        <w:top w:val="none" w:sz="0" w:space="0" w:color="auto"/>
        <w:left w:val="none" w:sz="0" w:space="0" w:color="auto"/>
        <w:bottom w:val="none" w:sz="0" w:space="0" w:color="auto"/>
        <w:right w:val="none" w:sz="0" w:space="0" w:color="auto"/>
      </w:divBdr>
    </w:div>
    <w:div w:id="27948209">
      <w:bodyDiv w:val="1"/>
      <w:marLeft w:val="0"/>
      <w:marRight w:val="0"/>
      <w:marTop w:val="0"/>
      <w:marBottom w:val="0"/>
      <w:divBdr>
        <w:top w:val="none" w:sz="0" w:space="0" w:color="auto"/>
        <w:left w:val="none" w:sz="0" w:space="0" w:color="auto"/>
        <w:bottom w:val="none" w:sz="0" w:space="0" w:color="auto"/>
        <w:right w:val="none" w:sz="0" w:space="0" w:color="auto"/>
      </w:divBdr>
    </w:div>
    <w:div w:id="132913865">
      <w:bodyDiv w:val="1"/>
      <w:marLeft w:val="0"/>
      <w:marRight w:val="0"/>
      <w:marTop w:val="0"/>
      <w:marBottom w:val="0"/>
      <w:divBdr>
        <w:top w:val="none" w:sz="0" w:space="0" w:color="auto"/>
        <w:left w:val="none" w:sz="0" w:space="0" w:color="auto"/>
        <w:bottom w:val="none" w:sz="0" w:space="0" w:color="auto"/>
        <w:right w:val="none" w:sz="0" w:space="0" w:color="auto"/>
      </w:divBdr>
    </w:div>
    <w:div w:id="303628349">
      <w:bodyDiv w:val="1"/>
      <w:marLeft w:val="0"/>
      <w:marRight w:val="0"/>
      <w:marTop w:val="0"/>
      <w:marBottom w:val="0"/>
      <w:divBdr>
        <w:top w:val="none" w:sz="0" w:space="0" w:color="auto"/>
        <w:left w:val="none" w:sz="0" w:space="0" w:color="auto"/>
        <w:bottom w:val="none" w:sz="0" w:space="0" w:color="auto"/>
        <w:right w:val="none" w:sz="0" w:space="0" w:color="auto"/>
      </w:divBdr>
    </w:div>
    <w:div w:id="333798930">
      <w:bodyDiv w:val="1"/>
      <w:marLeft w:val="0"/>
      <w:marRight w:val="0"/>
      <w:marTop w:val="0"/>
      <w:marBottom w:val="0"/>
      <w:divBdr>
        <w:top w:val="none" w:sz="0" w:space="0" w:color="auto"/>
        <w:left w:val="none" w:sz="0" w:space="0" w:color="auto"/>
        <w:bottom w:val="none" w:sz="0" w:space="0" w:color="auto"/>
        <w:right w:val="none" w:sz="0" w:space="0" w:color="auto"/>
      </w:divBdr>
      <w:divsChild>
        <w:div w:id="1732535710">
          <w:marLeft w:val="0"/>
          <w:marRight w:val="0"/>
          <w:marTop w:val="100"/>
          <w:marBottom w:val="100"/>
          <w:divBdr>
            <w:top w:val="none" w:sz="0" w:space="0" w:color="auto"/>
            <w:left w:val="none" w:sz="0" w:space="0" w:color="auto"/>
            <w:bottom w:val="none" w:sz="0" w:space="0" w:color="auto"/>
            <w:right w:val="none" w:sz="0" w:space="0" w:color="auto"/>
          </w:divBdr>
          <w:divsChild>
            <w:div w:id="212742157">
              <w:marLeft w:val="0"/>
              <w:marRight w:val="0"/>
              <w:marTop w:val="0"/>
              <w:marBottom w:val="0"/>
              <w:divBdr>
                <w:top w:val="none" w:sz="0" w:space="0" w:color="auto"/>
                <w:left w:val="none" w:sz="0" w:space="0" w:color="auto"/>
                <w:bottom w:val="none" w:sz="0" w:space="0" w:color="auto"/>
                <w:right w:val="none" w:sz="0" w:space="0" w:color="auto"/>
              </w:divBdr>
              <w:divsChild>
                <w:div w:id="1238246349">
                  <w:marLeft w:val="0"/>
                  <w:marRight w:val="0"/>
                  <w:marTop w:val="0"/>
                  <w:marBottom w:val="0"/>
                  <w:divBdr>
                    <w:top w:val="none" w:sz="0" w:space="0" w:color="auto"/>
                    <w:left w:val="none" w:sz="0" w:space="0" w:color="auto"/>
                    <w:bottom w:val="none" w:sz="0" w:space="0" w:color="auto"/>
                    <w:right w:val="none" w:sz="0" w:space="0" w:color="auto"/>
                  </w:divBdr>
                  <w:divsChild>
                    <w:div w:id="1159613737">
                      <w:marLeft w:val="0"/>
                      <w:marRight w:val="0"/>
                      <w:marTop w:val="450"/>
                      <w:marBottom w:val="450"/>
                      <w:divBdr>
                        <w:top w:val="none" w:sz="0" w:space="0" w:color="auto"/>
                        <w:left w:val="none" w:sz="0" w:space="0" w:color="auto"/>
                        <w:bottom w:val="none" w:sz="0" w:space="0" w:color="auto"/>
                        <w:right w:val="none" w:sz="0" w:space="0" w:color="auto"/>
                      </w:divBdr>
                      <w:divsChild>
                        <w:div w:id="2118794723">
                          <w:marLeft w:val="0"/>
                          <w:marRight w:val="0"/>
                          <w:marTop w:val="0"/>
                          <w:marBottom w:val="0"/>
                          <w:divBdr>
                            <w:top w:val="none" w:sz="0" w:space="0" w:color="auto"/>
                            <w:left w:val="none" w:sz="0" w:space="0" w:color="auto"/>
                            <w:bottom w:val="none" w:sz="0" w:space="0" w:color="auto"/>
                            <w:right w:val="none" w:sz="0" w:space="0" w:color="auto"/>
                          </w:divBdr>
                          <w:divsChild>
                            <w:div w:id="1104693700">
                              <w:marLeft w:val="0"/>
                              <w:marRight w:val="0"/>
                              <w:marTop w:val="0"/>
                              <w:marBottom w:val="0"/>
                              <w:divBdr>
                                <w:top w:val="none" w:sz="0" w:space="0" w:color="auto"/>
                                <w:left w:val="none" w:sz="0" w:space="0" w:color="auto"/>
                                <w:bottom w:val="none" w:sz="0" w:space="0" w:color="auto"/>
                                <w:right w:val="none" w:sz="0" w:space="0" w:color="auto"/>
                              </w:divBdr>
                              <w:divsChild>
                                <w:div w:id="464541423">
                                  <w:marLeft w:val="0"/>
                                  <w:marRight w:val="0"/>
                                  <w:marTop w:val="0"/>
                                  <w:marBottom w:val="0"/>
                                  <w:divBdr>
                                    <w:top w:val="none" w:sz="0" w:space="0" w:color="auto"/>
                                    <w:left w:val="none" w:sz="0" w:space="0" w:color="auto"/>
                                    <w:bottom w:val="none" w:sz="0" w:space="0" w:color="auto"/>
                                    <w:right w:val="none" w:sz="0" w:space="0" w:color="auto"/>
                                  </w:divBdr>
                                  <w:divsChild>
                                    <w:div w:id="107342809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458576728">
      <w:bodyDiv w:val="1"/>
      <w:marLeft w:val="0"/>
      <w:marRight w:val="0"/>
      <w:marTop w:val="0"/>
      <w:marBottom w:val="0"/>
      <w:divBdr>
        <w:top w:val="none" w:sz="0" w:space="0" w:color="auto"/>
        <w:left w:val="none" w:sz="0" w:space="0" w:color="auto"/>
        <w:bottom w:val="none" w:sz="0" w:space="0" w:color="auto"/>
        <w:right w:val="none" w:sz="0" w:space="0" w:color="auto"/>
      </w:divBdr>
    </w:div>
    <w:div w:id="625284038">
      <w:bodyDiv w:val="1"/>
      <w:marLeft w:val="0"/>
      <w:marRight w:val="0"/>
      <w:marTop w:val="0"/>
      <w:marBottom w:val="0"/>
      <w:divBdr>
        <w:top w:val="none" w:sz="0" w:space="0" w:color="auto"/>
        <w:left w:val="none" w:sz="0" w:space="0" w:color="auto"/>
        <w:bottom w:val="none" w:sz="0" w:space="0" w:color="auto"/>
        <w:right w:val="none" w:sz="0" w:space="0" w:color="auto"/>
      </w:divBdr>
    </w:div>
    <w:div w:id="675037220">
      <w:bodyDiv w:val="1"/>
      <w:marLeft w:val="0"/>
      <w:marRight w:val="0"/>
      <w:marTop w:val="0"/>
      <w:marBottom w:val="0"/>
      <w:divBdr>
        <w:top w:val="none" w:sz="0" w:space="0" w:color="auto"/>
        <w:left w:val="none" w:sz="0" w:space="0" w:color="auto"/>
        <w:bottom w:val="none" w:sz="0" w:space="0" w:color="auto"/>
        <w:right w:val="none" w:sz="0" w:space="0" w:color="auto"/>
      </w:divBdr>
    </w:div>
    <w:div w:id="692027380">
      <w:bodyDiv w:val="1"/>
      <w:marLeft w:val="0"/>
      <w:marRight w:val="0"/>
      <w:marTop w:val="0"/>
      <w:marBottom w:val="0"/>
      <w:divBdr>
        <w:top w:val="none" w:sz="0" w:space="0" w:color="auto"/>
        <w:left w:val="none" w:sz="0" w:space="0" w:color="auto"/>
        <w:bottom w:val="none" w:sz="0" w:space="0" w:color="auto"/>
        <w:right w:val="none" w:sz="0" w:space="0" w:color="auto"/>
      </w:divBdr>
      <w:divsChild>
        <w:div w:id="933512041">
          <w:marLeft w:val="0"/>
          <w:marRight w:val="0"/>
          <w:marTop w:val="100"/>
          <w:marBottom w:val="100"/>
          <w:divBdr>
            <w:top w:val="none" w:sz="0" w:space="0" w:color="auto"/>
            <w:left w:val="none" w:sz="0" w:space="0" w:color="auto"/>
            <w:bottom w:val="none" w:sz="0" w:space="0" w:color="auto"/>
            <w:right w:val="none" w:sz="0" w:space="0" w:color="auto"/>
          </w:divBdr>
          <w:divsChild>
            <w:div w:id="1174806592">
              <w:marLeft w:val="0"/>
              <w:marRight w:val="0"/>
              <w:marTop w:val="0"/>
              <w:marBottom w:val="0"/>
              <w:divBdr>
                <w:top w:val="none" w:sz="0" w:space="0" w:color="auto"/>
                <w:left w:val="none" w:sz="0" w:space="0" w:color="auto"/>
                <w:bottom w:val="none" w:sz="0" w:space="0" w:color="auto"/>
                <w:right w:val="none" w:sz="0" w:space="0" w:color="auto"/>
              </w:divBdr>
              <w:divsChild>
                <w:div w:id="1818378029">
                  <w:marLeft w:val="0"/>
                  <w:marRight w:val="0"/>
                  <w:marTop w:val="0"/>
                  <w:marBottom w:val="0"/>
                  <w:divBdr>
                    <w:top w:val="none" w:sz="0" w:space="0" w:color="auto"/>
                    <w:left w:val="none" w:sz="0" w:space="0" w:color="auto"/>
                    <w:bottom w:val="none" w:sz="0" w:space="0" w:color="auto"/>
                    <w:right w:val="none" w:sz="0" w:space="0" w:color="auto"/>
                  </w:divBdr>
                  <w:divsChild>
                    <w:div w:id="1005014645">
                      <w:marLeft w:val="0"/>
                      <w:marRight w:val="0"/>
                      <w:marTop w:val="450"/>
                      <w:marBottom w:val="450"/>
                      <w:divBdr>
                        <w:top w:val="none" w:sz="0" w:space="0" w:color="auto"/>
                        <w:left w:val="none" w:sz="0" w:space="0" w:color="auto"/>
                        <w:bottom w:val="none" w:sz="0" w:space="0" w:color="auto"/>
                        <w:right w:val="none" w:sz="0" w:space="0" w:color="auto"/>
                      </w:divBdr>
                      <w:divsChild>
                        <w:div w:id="895315694">
                          <w:marLeft w:val="0"/>
                          <w:marRight w:val="0"/>
                          <w:marTop w:val="0"/>
                          <w:marBottom w:val="0"/>
                          <w:divBdr>
                            <w:top w:val="none" w:sz="0" w:space="0" w:color="auto"/>
                            <w:left w:val="none" w:sz="0" w:space="0" w:color="auto"/>
                            <w:bottom w:val="none" w:sz="0" w:space="0" w:color="auto"/>
                            <w:right w:val="none" w:sz="0" w:space="0" w:color="auto"/>
                          </w:divBdr>
                          <w:divsChild>
                            <w:div w:id="824204162">
                              <w:marLeft w:val="0"/>
                              <w:marRight w:val="0"/>
                              <w:marTop w:val="0"/>
                              <w:marBottom w:val="0"/>
                              <w:divBdr>
                                <w:top w:val="none" w:sz="0" w:space="0" w:color="auto"/>
                                <w:left w:val="none" w:sz="0" w:space="0" w:color="auto"/>
                                <w:bottom w:val="none" w:sz="0" w:space="0" w:color="auto"/>
                                <w:right w:val="none" w:sz="0" w:space="0" w:color="auto"/>
                              </w:divBdr>
                              <w:divsChild>
                                <w:div w:id="437607558">
                                  <w:marLeft w:val="0"/>
                                  <w:marRight w:val="0"/>
                                  <w:marTop w:val="0"/>
                                  <w:marBottom w:val="0"/>
                                  <w:divBdr>
                                    <w:top w:val="none" w:sz="0" w:space="0" w:color="auto"/>
                                    <w:left w:val="none" w:sz="0" w:space="0" w:color="auto"/>
                                    <w:bottom w:val="none" w:sz="0" w:space="0" w:color="auto"/>
                                    <w:right w:val="none" w:sz="0" w:space="0" w:color="auto"/>
                                  </w:divBdr>
                                  <w:divsChild>
                                    <w:div w:id="84667161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910307977">
      <w:bodyDiv w:val="1"/>
      <w:marLeft w:val="0"/>
      <w:marRight w:val="0"/>
      <w:marTop w:val="0"/>
      <w:marBottom w:val="0"/>
      <w:divBdr>
        <w:top w:val="none" w:sz="0" w:space="0" w:color="auto"/>
        <w:left w:val="none" w:sz="0" w:space="0" w:color="auto"/>
        <w:bottom w:val="none" w:sz="0" w:space="0" w:color="auto"/>
        <w:right w:val="none" w:sz="0" w:space="0" w:color="auto"/>
      </w:divBdr>
    </w:div>
    <w:div w:id="1047071861">
      <w:bodyDiv w:val="1"/>
      <w:marLeft w:val="0"/>
      <w:marRight w:val="0"/>
      <w:marTop w:val="0"/>
      <w:marBottom w:val="0"/>
      <w:divBdr>
        <w:top w:val="none" w:sz="0" w:space="0" w:color="auto"/>
        <w:left w:val="none" w:sz="0" w:space="0" w:color="auto"/>
        <w:bottom w:val="none" w:sz="0" w:space="0" w:color="auto"/>
        <w:right w:val="none" w:sz="0" w:space="0" w:color="auto"/>
      </w:divBdr>
    </w:div>
    <w:div w:id="1231112815">
      <w:bodyDiv w:val="1"/>
      <w:marLeft w:val="0"/>
      <w:marRight w:val="0"/>
      <w:marTop w:val="0"/>
      <w:marBottom w:val="0"/>
      <w:divBdr>
        <w:top w:val="none" w:sz="0" w:space="0" w:color="auto"/>
        <w:left w:val="none" w:sz="0" w:space="0" w:color="auto"/>
        <w:bottom w:val="none" w:sz="0" w:space="0" w:color="auto"/>
        <w:right w:val="none" w:sz="0" w:space="0" w:color="auto"/>
      </w:divBdr>
    </w:div>
    <w:div w:id="1357079724">
      <w:bodyDiv w:val="1"/>
      <w:marLeft w:val="0"/>
      <w:marRight w:val="0"/>
      <w:marTop w:val="0"/>
      <w:marBottom w:val="0"/>
      <w:divBdr>
        <w:top w:val="none" w:sz="0" w:space="0" w:color="auto"/>
        <w:left w:val="none" w:sz="0" w:space="0" w:color="auto"/>
        <w:bottom w:val="none" w:sz="0" w:space="0" w:color="auto"/>
        <w:right w:val="none" w:sz="0" w:space="0" w:color="auto"/>
      </w:divBdr>
      <w:divsChild>
        <w:div w:id="899369681">
          <w:marLeft w:val="0"/>
          <w:marRight w:val="0"/>
          <w:marTop w:val="100"/>
          <w:marBottom w:val="100"/>
          <w:divBdr>
            <w:top w:val="none" w:sz="0" w:space="0" w:color="auto"/>
            <w:left w:val="none" w:sz="0" w:space="0" w:color="auto"/>
            <w:bottom w:val="none" w:sz="0" w:space="0" w:color="auto"/>
            <w:right w:val="none" w:sz="0" w:space="0" w:color="auto"/>
          </w:divBdr>
          <w:divsChild>
            <w:div w:id="936865531">
              <w:marLeft w:val="0"/>
              <w:marRight w:val="0"/>
              <w:marTop w:val="0"/>
              <w:marBottom w:val="0"/>
              <w:divBdr>
                <w:top w:val="none" w:sz="0" w:space="0" w:color="auto"/>
                <w:left w:val="none" w:sz="0" w:space="0" w:color="auto"/>
                <w:bottom w:val="none" w:sz="0" w:space="0" w:color="auto"/>
                <w:right w:val="none" w:sz="0" w:space="0" w:color="auto"/>
              </w:divBdr>
              <w:divsChild>
                <w:div w:id="1002585621">
                  <w:marLeft w:val="0"/>
                  <w:marRight w:val="0"/>
                  <w:marTop w:val="0"/>
                  <w:marBottom w:val="0"/>
                  <w:divBdr>
                    <w:top w:val="none" w:sz="0" w:space="0" w:color="auto"/>
                    <w:left w:val="none" w:sz="0" w:space="0" w:color="auto"/>
                    <w:bottom w:val="none" w:sz="0" w:space="0" w:color="auto"/>
                    <w:right w:val="none" w:sz="0" w:space="0" w:color="auto"/>
                  </w:divBdr>
                  <w:divsChild>
                    <w:div w:id="266548282">
                      <w:marLeft w:val="0"/>
                      <w:marRight w:val="0"/>
                      <w:marTop w:val="450"/>
                      <w:marBottom w:val="450"/>
                      <w:divBdr>
                        <w:top w:val="none" w:sz="0" w:space="0" w:color="auto"/>
                        <w:left w:val="none" w:sz="0" w:space="0" w:color="auto"/>
                        <w:bottom w:val="none" w:sz="0" w:space="0" w:color="auto"/>
                        <w:right w:val="none" w:sz="0" w:space="0" w:color="auto"/>
                      </w:divBdr>
                      <w:divsChild>
                        <w:div w:id="1039865638">
                          <w:marLeft w:val="0"/>
                          <w:marRight w:val="0"/>
                          <w:marTop w:val="0"/>
                          <w:marBottom w:val="0"/>
                          <w:divBdr>
                            <w:top w:val="none" w:sz="0" w:space="0" w:color="auto"/>
                            <w:left w:val="none" w:sz="0" w:space="0" w:color="auto"/>
                            <w:bottom w:val="none" w:sz="0" w:space="0" w:color="auto"/>
                            <w:right w:val="none" w:sz="0" w:space="0" w:color="auto"/>
                          </w:divBdr>
                          <w:divsChild>
                            <w:div w:id="1264071768">
                              <w:marLeft w:val="0"/>
                              <w:marRight w:val="0"/>
                              <w:marTop w:val="0"/>
                              <w:marBottom w:val="0"/>
                              <w:divBdr>
                                <w:top w:val="none" w:sz="0" w:space="0" w:color="auto"/>
                                <w:left w:val="none" w:sz="0" w:space="0" w:color="auto"/>
                                <w:bottom w:val="none" w:sz="0" w:space="0" w:color="auto"/>
                                <w:right w:val="none" w:sz="0" w:space="0" w:color="auto"/>
                              </w:divBdr>
                              <w:divsChild>
                                <w:div w:id="920673682">
                                  <w:marLeft w:val="0"/>
                                  <w:marRight w:val="0"/>
                                  <w:marTop w:val="0"/>
                                  <w:marBottom w:val="0"/>
                                  <w:divBdr>
                                    <w:top w:val="none" w:sz="0" w:space="0" w:color="auto"/>
                                    <w:left w:val="none" w:sz="0" w:space="0" w:color="auto"/>
                                    <w:bottom w:val="none" w:sz="0" w:space="0" w:color="auto"/>
                                    <w:right w:val="none" w:sz="0" w:space="0" w:color="auto"/>
                                  </w:divBdr>
                                  <w:divsChild>
                                    <w:div w:id="211204966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1423332649">
      <w:bodyDiv w:val="1"/>
      <w:marLeft w:val="0"/>
      <w:marRight w:val="0"/>
      <w:marTop w:val="0"/>
      <w:marBottom w:val="0"/>
      <w:divBdr>
        <w:top w:val="none" w:sz="0" w:space="0" w:color="auto"/>
        <w:left w:val="none" w:sz="0" w:space="0" w:color="auto"/>
        <w:bottom w:val="none" w:sz="0" w:space="0" w:color="auto"/>
        <w:right w:val="none" w:sz="0" w:space="0" w:color="auto"/>
      </w:divBdr>
    </w:div>
    <w:div w:id="1484858630">
      <w:bodyDiv w:val="1"/>
      <w:marLeft w:val="0"/>
      <w:marRight w:val="0"/>
      <w:marTop w:val="0"/>
      <w:marBottom w:val="0"/>
      <w:divBdr>
        <w:top w:val="none" w:sz="0" w:space="0" w:color="auto"/>
        <w:left w:val="none" w:sz="0" w:space="0" w:color="auto"/>
        <w:bottom w:val="none" w:sz="0" w:space="0" w:color="auto"/>
        <w:right w:val="none" w:sz="0" w:space="0" w:color="auto"/>
      </w:divBdr>
      <w:divsChild>
        <w:div w:id="682557779">
          <w:marLeft w:val="0"/>
          <w:marRight w:val="0"/>
          <w:marTop w:val="100"/>
          <w:marBottom w:val="100"/>
          <w:divBdr>
            <w:top w:val="none" w:sz="0" w:space="0" w:color="auto"/>
            <w:left w:val="none" w:sz="0" w:space="0" w:color="auto"/>
            <w:bottom w:val="none" w:sz="0" w:space="0" w:color="auto"/>
            <w:right w:val="none" w:sz="0" w:space="0" w:color="auto"/>
          </w:divBdr>
          <w:divsChild>
            <w:div w:id="1141732281">
              <w:marLeft w:val="0"/>
              <w:marRight w:val="0"/>
              <w:marTop w:val="0"/>
              <w:marBottom w:val="0"/>
              <w:divBdr>
                <w:top w:val="none" w:sz="0" w:space="0" w:color="auto"/>
                <w:left w:val="none" w:sz="0" w:space="0" w:color="auto"/>
                <w:bottom w:val="none" w:sz="0" w:space="0" w:color="auto"/>
                <w:right w:val="none" w:sz="0" w:space="0" w:color="auto"/>
              </w:divBdr>
              <w:divsChild>
                <w:div w:id="1360668520">
                  <w:marLeft w:val="0"/>
                  <w:marRight w:val="0"/>
                  <w:marTop w:val="0"/>
                  <w:marBottom w:val="0"/>
                  <w:divBdr>
                    <w:top w:val="none" w:sz="0" w:space="0" w:color="auto"/>
                    <w:left w:val="none" w:sz="0" w:space="0" w:color="auto"/>
                    <w:bottom w:val="none" w:sz="0" w:space="0" w:color="auto"/>
                    <w:right w:val="none" w:sz="0" w:space="0" w:color="auto"/>
                  </w:divBdr>
                  <w:divsChild>
                    <w:div w:id="880825489">
                      <w:marLeft w:val="0"/>
                      <w:marRight w:val="0"/>
                      <w:marTop w:val="450"/>
                      <w:marBottom w:val="450"/>
                      <w:divBdr>
                        <w:top w:val="none" w:sz="0" w:space="0" w:color="auto"/>
                        <w:left w:val="none" w:sz="0" w:space="0" w:color="auto"/>
                        <w:bottom w:val="none" w:sz="0" w:space="0" w:color="auto"/>
                        <w:right w:val="none" w:sz="0" w:space="0" w:color="auto"/>
                      </w:divBdr>
                      <w:divsChild>
                        <w:div w:id="1431505158">
                          <w:marLeft w:val="0"/>
                          <w:marRight w:val="0"/>
                          <w:marTop w:val="0"/>
                          <w:marBottom w:val="0"/>
                          <w:divBdr>
                            <w:top w:val="none" w:sz="0" w:space="0" w:color="auto"/>
                            <w:left w:val="none" w:sz="0" w:space="0" w:color="auto"/>
                            <w:bottom w:val="none" w:sz="0" w:space="0" w:color="auto"/>
                            <w:right w:val="none" w:sz="0" w:space="0" w:color="auto"/>
                          </w:divBdr>
                          <w:divsChild>
                            <w:div w:id="1896312582">
                              <w:marLeft w:val="0"/>
                              <w:marRight w:val="0"/>
                              <w:marTop w:val="0"/>
                              <w:marBottom w:val="0"/>
                              <w:divBdr>
                                <w:top w:val="none" w:sz="0" w:space="0" w:color="auto"/>
                                <w:left w:val="none" w:sz="0" w:space="0" w:color="auto"/>
                                <w:bottom w:val="none" w:sz="0" w:space="0" w:color="auto"/>
                                <w:right w:val="none" w:sz="0" w:space="0" w:color="auto"/>
                              </w:divBdr>
                              <w:divsChild>
                                <w:div w:id="1372922398">
                                  <w:marLeft w:val="0"/>
                                  <w:marRight w:val="0"/>
                                  <w:marTop w:val="0"/>
                                  <w:marBottom w:val="0"/>
                                  <w:divBdr>
                                    <w:top w:val="none" w:sz="0" w:space="0" w:color="auto"/>
                                    <w:left w:val="none" w:sz="0" w:space="0" w:color="auto"/>
                                    <w:bottom w:val="none" w:sz="0" w:space="0" w:color="auto"/>
                                    <w:right w:val="none" w:sz="0" w:space="0" w:color="auto"/>
                                  </w:divBdr>
                                  <w:divsChild>
                                    <w:div w:id="212095248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1638683103">
      <w:bodyDiv w:val="1"/>
      <w:marLeft w:val="0"/>
      <w:marRight w:val="0"/>
      <w:marTop w:val="0"/>
      <w:marBottom w:val="0"/>
      <w:divBdr>
        <w:top w:val="none" w:sz="0" w:space="0" w:color="auto"/>
        <w:left w:val="none" w:sz="0" w:space="0" w:color="auto"/>
        <w:bottom w:val="none" w:sz="0" w:space="0" w:color="auto"/>
        <w:right w:val="none" w:sz="0" w:space="0" w:color="auto"/>
      </w:divBdr>
    </w:div>
    <w:div w:id="1675842950">
      <w:bodyDiv w:val="1"/>
      <w:marLeft w:val="0"/>
      <w:marRight w:val="0"/>
      <w:marTop w:val="0"/>
      <w:marBottom w:val="0"/>
      <w:divBdr>
        <w:top w:val="none" w:sz="0" w:space="0" w:color="auto"/>
        <w:left w:val="none" w:sz="0" w:space="0" w:color="auto"/>
        <w:bottom w:val="none" w:sz="0" w:space="0" w:color="auto"/>
        <w:right w:val="none" w:sz="0" w:space="0" w:color="auto"/>
      </w:divBdr>
    </w:div>
    <w:div w:id="1742557686">
      <w:bodyDiv w:val="1"/>
      <w:marLeft w:val="0"/>
      <w:marRight w:val="0"/>
      <w:marTop w:val="0"/>
      <w:marBottom w:val="0"/>
      <w:divBdr>
        <w:top w:val="none" w:sz="0" w:space="0" w:color="auto"/>
        <w:left w:val="none" w:sz="0" w:space="0" w:color="auto"/>
        <w:bottom w:val="none" w:sz="0" w:space="0" w:color="auto"/>
        <w:right w:val="none" w:sz="0" w:space="0" w:color="auto"/>
      </w:divBdr>
    </w:div>
    <w:div w:id="1866671746">
      <w:bodyDiv w:val="1"/>
      <w:marLeft w:val="0"/>
      <w:marRight w:val="0"/>
      <w:marTop w:val="0"/>
      <w:marBottom w:val="0"/>
      <w:divBdr>
        <w:top w:val="none" w:sz="0" w:space="0" w:color="auto"/>
        <w:left w:val="none" w:sz="0" w:space="0" w:color="auto"/>
        <w:bottom w:val="none" w:sz="0" w:space="0" w:color="auto"/>
        <w:right w:val="none" w:sz="0" w:space="0" w:color="auto"/>
      </w:divBdr>
      <w:divsChild>
        <w:div w:id="1446343290">
          <w:marLeft w:val="0"/>
          <w:marRight w:val="0"/>
          <w:marTop w:val="100"/>
          <w:marBottom w:val="100"/>
          <w:divBdr>
            <w:top w:val="none" w:sz="0" w:space="0" w:color="auto"/>
            <w:left w:val="none" w:sz="0" w:space="0" w:color="auto"/>
            <w:bottom w:val="none" w:sz="0" w:space="0" w:color="auto"/>
            <w:right w:val="none" w:sz="0" w:space="0" w:color="auto"/>
          </w:divBdr>
          <w:divsChild>
            <w:div w:id="1026908856">
              <w:marLeft w:val="0"/>
              <w:marRight w:val="0"/>
              <w:marTop w:val="0"/>
              <w:marBottom w:val="0"/>
              <w:divBdr>
                <w:top w:val="none" w:sz="0" w:space="0" w:color="auto"/>
                <w:left w:val="none" w:sz="0" w:space="0" w:color="auto"/>
                <w:bottom w:val="none" w:sz="0" w:space="0" w:color="auto"/>
                <w:right w:val="none" w:sz="0" w:space="0" w:color="auto"/>
              </w:divBdr>
              <w:divsChild>
                <w:div w:id="1320311619">
                  <w:marLeft w:val="0"/>
                  <w:marRight w:val="0"/>
                  <w:marTop w:val="0"/>
                  <w:marBottom w:val="0"/>
                  <w:divBdr>
                    <w:top w:val="none" w:sz="0" w:space="0" w:color="auto"/>
                    <w:left w:val="none" w:sz="0" w:space="0" w:color="auto"/>
                    <w:bottom w:val="none" w:sz="0" w:space="0" w:color="auto"/>
                    <w:right w:val="none" w:sz="0" w:space="0" w:color="auto"/>
                  </w:divBdr>
                  <w:divsChild>
                    <w:div w:id="1283730534">
                      <w:marLeft w:val="0"/>
                      <w:marRight w:val="0"/>
                      <w:marTop w:val="450"/>
                      <w:marBottom w:val="450"/>
                      <w:divBdr>
                        <w:top w:val="none" w:sz="0" w:space="0" w:color="auto"/>
                        <w:left w:val="none" w:sz="0" w:space="0" w:color="auto"/>
                        <w:bottom w:val="none" w:sz="0" w:space="0" w:color="auto"/>
                        <w:right w:val="none" w:sz="0" w:space="0" w:color="auto"/>
                      </w:divBdr>
                      <w:divsChild>
                        <w:div w:id="31686653">
                          <w:marLeft w:val="0"/>
                          <w:marRight w:val="0"/>
                          <w:marTop w:val="0"/>
                          <w:marBottom w:val="0"/>
                          <w:divBdr>
                            <w:top w:val="none" w:sz="0" w:space="0" w:color="auto"/>
                            <w:left w:val="none" w:sz="0" w:space="0" w:color="auto"/>
                            <w:bottom w:val="none" w:sz="0" w:space="0" w:color="auto"/>
                            <w:right w:val="none" w:sz="0" w:space="0" w:color="auto"/>
                          </w:divBdr>
                          <w:divsChild>
                            <w:div w:id="1646549986">
                              <w:marLeft w:val="0"/>
                              <w:marRight w:val="0"/>
                              <w:marTop w:val="0"/>
                              <w:marBottom w:val="0"/>
                              <w:divBdr>
                                <w:top w:val="none" w:sz="0" w:space="0" w:color="auto"/>
                                <w:left w:val="none" w:sz="0" w:space="0" w:color="auto"/>
                                <w:bottom w:val="none" w:sz="0" w:space="0" w:color="auto"/>
                                <w:right w:val="none" w:sz="0" w:space="0" w:color="auto"/>
                              </w:divBdr>
                              <w:divsChild>
                                <w:div w:id="1865094835">
                                  <w:marLeft w:val="0"/>
                                  <w:marRight w:val="0"/>
                                  <w:marTop w:val="0"/>
                                  <w:marBottom w:val="0"/>
                                  <w:divBdr>
                                    <w:top w:val="none" w:sz="0" w:space="0" w:color="auto"/>
                                    <w:left w:val="none" w:sz="0" w:space="0" w:color="auto"/>
                                    <w:bottom w:val="none" w:sz="0" w:space="0" w:color="auto"/>
                                    <w:right w:val="none" w:sz="0" w:space="0" w:color="auto"/>
                                  </w:divBdr>
                                  <w:divsChild>
                                    <w:div w:id="132535806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1873371986">
      <w:bodyDiv w:val="1"/>
      <w:marLeft w:val="0"/>
      <w:marRight w:val="0"/>
      <w:marTop w:val="0"/>
      <w:marBottom w:val="0"/>
      <w:divBdr>
        <w:top w:val="none" w:sz="0" w:space="0" w:color="auto"/>
        <w:left w:val="none" w:sz="0" w:space="0" w:color="auto"/>
        <w:bottom w:val="none" w:sz="0" w:space="0" w:color="auto"/>
        <w:right w:val="none" w:sz="0" w:space="0" w:color="auto"/>
      </w:divBdr>
    </w:div>
    <w:div w:id="19761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ugcrowd.com/bug-bounty-list/" TargetMode="External"/><Relationship Id="rId18" Type="http://schemas.openxmlformats.org/officeDocument/2006/relationships/hyperlink" Target="https://www.cpomagazine.com/cyber-security/solarwinds-backdoor-affected-18000-customers-microsoft-warns-40-actively-targeted-organizations/" TargetMode="External"/><Relationship Id="rId26" Type="http://schemas.openxmlformats.org/officeDocument/2006/relationships/hyperlink" Target="https://www.defense.gov/Newsroom/Contracts/Contract/Article/1999639/" TargetMode="External"/><Relationship Id="rId3" Type="http://schemas.openxmlformats.org/officeDocument/2006/relationships/styles" Target="styles.xml"/><Relationship Id="rId21" Type="http://schemas.openxmlformats.org/officeDocument/2006/relationships/hyperlink" Target="https://www.zdnet.com/article/everything-you-need-to-know-about-microsoft-exchange-server-hack/" TargetMode="External"/><Relationship Id="rId7" Type="http://schemas.openxmlformats.org/officeDocument/2006/relationships/endnotes" Target="endnotes.xml"/><Relationship Id="rId12" Type="http://schemas.openxmlformats.org/officeDocument/2006/relationships/hyperlink" Target="https://www.apriorit.com/dev-blog/523-cloud-computing-cyber-attacks" TargetMode="External"/><Relationship Id="rId17" Type="http://schemas.openxmlformats.org/officeDocument/2006/relationships/hyperlink" Target="https://www.history.com/this-day-in-history/microsoft-founded" TargetMode="External"/><Relationship Id="rId25" Type="http://schemas.openxmlformats.org/officeDocument/2006/relationships/hyperlink" Target="https://www.upguard.com/blog/access-control" TargetMode="External"/><Relationship Id="rId2" Type="http://schemas.openxmlformats.org/officeDocument/2006/relationships/numbering" Target="numbering.xml"/><Relationship Id="rId16" Type="http://schemas.openxmlformats.org/officeDocument/2006/relationships/hyperlink" Target="https://www.fireeye.com/blog/threat-research/2020/12/evasive-attacker-leverages-solarwinds-supply-chain-compromises-with-sunburst-backdoor.html" TargetMode="External"/><Relationship Id="rId20" Type="http://schemas.openxmlformats.org/officeDocument/2006/relationships/hyperlink" Target="https://www.fireeye.com/mandiant/threat-intelligenc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gov/Archives/edgar/data/789019/000156459019027952/msft-10k_20190630.htm" TargetMode="External"/><Relationship Id="rId24" Type="http://schemas.openxmlformats.org/officeDocument/2006/relationships/hyperlink" Target="https://us.norton.com/internetsecurity-how-to-the-importance-of-general-software-updates-and-patches.html" TargetMode="External"/><Relationship Id="rId5" Type="http://schemas.openxmlformats.org/officeDocument/2006/relationships/webSettings" Target="webSettings.xml"/><Relationship Id="rId15" Type="http://schemas.openxmlformats.org/officeDocument/2006/relationships/hyperlink" Target="https://app-avention-com.ezproxy.umgc.edu/company/beb446af-bfe3-3775-a1f4-491c4fae4e9b" TargetMode="External"/><Relationship Id="rId23" Type="http://schemas.openxmlformats.org/officeDocument/2006/relationships/hyperlink" Target="https://www.securitas.com/en/about-us/our-organization/"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ironscales.com/our-stor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sf.tools/reference/nist-cybersecurity-framework/v1-1/" TargetMode="External"/><Relationship Id="rId22" Type="http://schemas.openxmlformats.org/officeDocument/2006/relationships/hyperlink" Target="https://reciprocitylabs.com/resources/is-nist-mandatory/" TargetMode="External"/><Relationship Id="rId27" Type="http://schemas.openxmlformats.org/officeDocument/2006/relationships/hyperlink" Target="https://www.gsx.org/gsx-blog/can-you-be-liable-for-your-vendors-data-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50F5-2AB9-49AE-8E14-573939C9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CSIA Template</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CSIA Template</dc:title>
  <dc:creator>Valorie King</dc:creator>
  <cp:lastModifiedBy>Gandalf The Grey</cp:lastModifiedBy>
  <cp:revision>10</cp:revision>
  <cp:lastPrinted>2002-05-11T22:16:00Z</cp:lastPrinted>
  <dcterms:created xsi:type="dcterms:W3CDTF">2021-07-19T02:39:00Z</dcterms:created>
  <dcterms:modified xsi:type="dcterms:W3CDTF">2021-11-18T00:41:00Z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TC300078241033</vt:lpwstr>
  </property>
</Properties>
</file>