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3BE1" w14:textId="77777777" w:rsidR="00E629A0" w:rsidRPr="00E629A0" w:rsidRDefault="00E629A0" w:rsidP="00E629A0">
      <w:pPr>
        <w:pStyle w:val="Title"/>
        <w:jc w:val="center"/>
        <w:rPr>
          <w:rFonts w:ascii="Times New Roman" w:eastAsia="Times New Roman" w:hAnsi="Times New Roman" w:cs="Times New Roman"/>
        </w:rPr>
      </w:pPr>
      <w:r w:rsidRPr="00E629A0">
        <w:rPr>
          <w:rFonts w:ascii="Times New Roman" w:eastAsia="Times New Roman" w:hAnsi="Times New Roman" w:cs="Times New Roman"/>
        </w:rPr>
        <w:t>CSF, OFAC’s SDN, and Data Sovereignty</w:t>
      </w:r>
    </w:p>
    <w:p w14:paraId="5D1D6E6B" w14:textId="77777777" w:rsidR="00137C3A" w:rsidRDefault="004708E0" w:rsidP="00137C3A">
      <w:pPr>
        <w:shd w:val="clear" w:color="auto" w:fill="FFFFFF"/>
        <w:spacing w:before="120" w:after="240" w:line="240" w:lineRule="auto"/>
        <w:jc w:val="center"/>
        <w:rPr>
          <w:rFonts w:ascii="Times New Roman" w:eastAsia="Times New Roman" w:hAnsi="Times New Roman" w:cs="Times New Roman"/>
          <w:color w:val="494C4E"/>
          <w:spacing w:val="3"/>
          <w:sz w:val="24"/>
          <w:szCs w:val="24"/>
        </w:rPr>
      </w:pPr>
      <w:r w:rsidRPr="00137C3A">
        <w:rPr>
          <w:rFonts w:ascii="Times New Roman" w:eastAsia="Times New Roman" w:hAnsi="Times New Roman" w:cs="Times New Roman"/>
          <w:spacing w:val="3"/>
          <w:sz w:val="24"/>
          <w:szCs w:val="24"/>
        </w:rPr>
        <w:t>By Abraham Cain</w:t>
      </w:r>
    </w:p>
    <w:p w14:paraId="12D83D63" w14:textId="56C84C21"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 xml:space="preserve">When it comes to protecting your digital assets overseas, there are a few things you need to consider. This briefing covers three sets of recommendations/considerations for protecting your data when it needs to leave the borders of the U.S. The first will be based </w:t>
      </w:r>
      <w:proofErr w:type="gramStart"/>
      <w:r w:rsidRPr="00E103A0">
        <w:rPr>
          <w:rFonts w:ascii="Times New Roman" w:eastAsia="Times New Roman" w:hAnsi="Times New Roman" w:cs="Times New Roman"/>
          <w:color w:val="494C4E"/>
          <w:spacing w:val="3"/>
          <w:sz w:val="24"/>
          <w:szCs w:val="24"/>
        </w:rPr>
        <w:t>off of</w:t>
      </w:r>
      <w:proofErr w:type="gramEnd"/>
      <w:r w:rsidRPr="00E103A0">
        <w:rPr>
          <w:rFonts w:ascii="Times New Roman" w:eastAsia="Times New Roman" w:hAnsi="Times New Roman" w:cs="Times New Roman"/>
          <w:color w:val="494C4E"/>
          <w:spacing w:val="3"/>
          <w:sz w:val="24"/>
          <w:szCs w:val="24"/>
        </w:rPr>
        <w:t xml:space="preserve"> the NIST Cybersecurity Framework (NIST CSF). The second deals with data sovereignty and its </w:t>
      </w:r>
      <w:proofErr w:type="spellStart"/>
      <w:r w:rsidRPr="00E103A0">
        <w:rPr>
          <w:rFonts w:ascii="Times New Roman" w:eastAsia="Times New Roman" w:hAnsi="Times New Roman" w:cs="Times New Roman"/>
          <w:color w:val="494C4E"/>
          <w:spacing w:val="3"/>
          <w:sz w:val="24"/>
          <w:szCs w:val="24"/>
        </w:rPr>
        <w:t>affect</w:t>
      </w:r>
      <w:proofErr w:type="spellEnd"/>
      <w:r w:rsidRPr="00E103A0">
        <w:rPr>
          <w:rFonts w:ascii="Times New Roman" w:eastAsia="Times New Roman" w:hAnsi="Times New Roman" w:cs="Times New Roman"/>
          <w:color w:val="494C4E"/>
          <w:spacing w:val="3"/>
          <w:sz w:val="24"/>
          <w:szCs w:val="24"/>
        </w:rPr>
        <w:t xml:space="preserve"> on your data. The last will be </w:t>
      </w:r>
      <w:proofErr w:type="gramStart"/>
      <w:r w:rsidRPr="00E103A0">
        <w:rPr>
          <w:rFonts w:ascii="Times New Roman" w:eastAsia="Times New Roman" w:hAnsi="Times New Roman" w:cs="Times New Roman"/>
          <w:color w:val="494C4E"/>
          <w:spacing w:val="3"/>
          <w:sz w:val="24"/>
          <w:szCs w:val="24"/>
        </w:rPr>
        <w:t>in regard to</w:t>
      </w:r>
      <w:proofErr w:type="gramEnd"/>
      <w:r w:rsidRPr="00E103A0">
        <w:rPr>
          <w:rFonts w:ascii="Times New Roman" w:eastAsia="Times New Roman" w:hAnsi="Times New Roman" w:cs="Times New Roman"/>
          <w:color w:val="494C4E"/>
          <w:spacing w:val="3"/>
          <w:sz w:val="24"/>
          <w:szCs w:val="24"/>
        </w:rPr>
        <w:t xml:space="preserve"> the Office of Foreign Assets Control (OFAC)'s specially designated nationals and blocked persons list.</w:t>
      </w:r>
    </w:p>
    <w:p w14:paraId="0CB7A914" w14:textId="77777777"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 xml:space="preserve">Very similar to securing digital assets in the U.S., following a security </w:t>
      </w:r>
      <w:proofErr w:type="gramStart"/>
      <w:r w:rsidRPr="00E103A0">
        <w:rPr>
          <w:rFonts w:ascii="Times New Roman" w:eastAsia="Times New Roman" w:hAnsi="Times New Roman" w:cs="Times New Roman"/>
          <w:color w:val="494C4E"/>
          <w:spacing w:val="3"/>
          <w:sz w:val="24"/>
          <w:szCs w:val="24"/>
        </w:rPr>
        <w:t>framework</w:t>
      </w:r>
      <w:proofErr w:type="gramEnd"/>
      <w:r w:rsidRPr="00E103A0">
        <w:rPr>
          <w:rFonts w:ascii="Times New Roman" w:eastAsia="Times New Roman" w:hAnsi="Times New Roman" w:cs="Times New Roman"/>
          <w:color w:val="494C4E"/>
          <w:spacing w:val="3"/>
          <w:sz w:val="24"/>
          <w:szCs w:val="24"/>
        </w:rPr>
        <w:t xml:space="preserve"> or making use of one to form your information security management system (ISMS) will be a great defense. I would recommend following and adapting where necessary, the NIST CSF. The core components of the framework are:</w:t>
      </w:r>
    </w:p>
    <w:p w14:paraId="7CDE1AE3" w14:textId="77777777" w:rsidR="003473E9" w:rsidRPr="00E103A0" w:rsidRDefault="003473E9" w:rsidP="003473E9">
      <w:pPr>
        <w:numPr>
          <w:ilvl w:val="0"/>
          <w:numId w:val="1"/>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Identify</w:t>
      </w:r>
    </w:p>
    <w:p w14:paraId="6FBA6043" w14:textId="77777777" w:rsidR="003473E9" w:rsidRPr="00E103A0" w:rsidRDefault="003473E9" w:rsidP="003473E9">
      <w:pPr>
        <w:numPr>
          <w:ilvl w:val="0"/>
          <w:numId w:val="1"/>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Protect</w:t>
      </w:r>
    </w:p>
    <w:p w14:paraId="5C0BD676" w14:textId="77777777" w:rsidR="003473E9" w:rsidRPr="00E103A0" w:rsidRDefault="003473E9" w:rsidP="003473E9">
      <w:pPr>
        <w:numPr>
          <w:ilvl w:val="0"/>
          <w:numId w:val="1"/>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Detect</w:t>
      </w:r>
    </w:p>
    <w:p w14:paraId="4D2F4AE7" w14:textId="77777777" w:rsidR="003473E9" w:rsidRPr="00E103A0" w:rsidRDefault="003473E9" w:rsidP="003473E9">
      <w:pPr>
        <w:numPr>
          <w:ilvl w:val="0"/>
          <w:numId w:val="1"/>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Respond</w:t>
      </w:r>
    </w:p>
    <w:p w14:paraId="2A59582F" w14:textId="77777777" w:rsidR="003473E9" w:rsidRPr="00E103A0" w:rsidRDefault="003473E9" w:rsidP="003473E9">
      <w:pPr>
        <w:numPr>
          <w:ilvl w:val="0"/>
          <w:numId w:val="1"/>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Recover. (NIST, 2021)</w:t>
      </w:r>
    </w:p>
    <w:p w14:paraId="4098DBDD" w14:textId="35A5187A" w:rsidR="003473E9" w:rsidRPr="00E103A0" w:rsidRDefault="003473E9" w:rsidP="003473E9">
      <w:pPr>
        <w:shd w:val="clear" w:color="auto" w:fill="FFFFFF"/>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noProof/>
          <w:color w:val="494C4E"/>
          <w:spacing w:val="3"/>
          <w:sz w:val="24"/>
          <w:szCs w:val="24"/>
        </w:rPr>
        <mc:AlternateContent>
          <mc:Choice Requires="wps">
            <w:drawing>
              <wp:inline distT="0" distB="0" distL="0" distR="0" wp14:anchorId="16213418" wp14:editId="38B378F6">
                <wp:extent cx="6599736" cy="4176708"/>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99736" cy="41767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6CFEC" w14:textId="735505F7" w:rsidR="00E103A0" w:rsidRDefault="00E103A0" w:rsidP="00E103A0">
                            <w:pPr>
                              <w:jc w:val="center"/>
                            </w:pPr>
                            <w:r>
                              <w:rPr>
                                <w:noProof/>
                              </w:rPr>
                              <w:drawing>
                                <wp:inline distT="0" distB="0" distL="0" distR="0" wp14:anchorId="5834423E" wp14:editId="4DDEFE68">
                                  <wp:extent cx="6406515" cy="4084955"/>
                                  <wp:effectExtent l="0" t="0" r="0" b="0"/>
                                  <wp:docPr id="3" name="Picture 3" descr="Subcategorie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categories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6515" cy="40849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16213418" id="Rectangle 1" o:spid="_x0000_s1026" style="width:519.65pt;height:32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" filled="f" stroked="f">
                <o:lock v:ext="edit" aspectratio="t"/>
                <v:textbox>
                  <w:txbxContent>
                    <w:p w14:paraId="5496CFEC" w14:textId="735505F7" w:rsidR="00E103A0" w:rsidRDefault="00E103A0" w:rsidP="00E103A0">
                      <w:pPr>
                        <w:jc w:val="center"/>
                      </w:pPr>
                      <w:r>
                        <w:rPr>
                          <w:noProof/>
                        </w:rPr>
                        <w:drawing>
                          <wp:inline distT="0" distB="0" distL="0" distR="0" wp14:anchorId="5834423E" wp14:editId="4DDEFE68">
                            <wp:extent cx="6406515" cy="4084955"/>
                            <wp:effectExtent l="0" t="0" r="0" b="0"/>
                            <wp:docPr id="3" name="Picture 3" descr="Subcategorie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categories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6515" cy="4084955"/>
                                    </a:xfrm>
                                    <a:prstGeom prst="rect">
                                      <a:avLst/>
                                    </a:prstGeom>
                                    <a:noFill/>
                                    <a:ln>
                                      <a:noFill/>
                                    </a:ln>
                                  </pic:spPr>
                                </pic:pic>
                              </a:graphicData>
                            </a:graphic>
                          </wp:inline>
                        </w:drawing>
                      </w:r>
                    </w:p>
                  </w:txbxContent>
                </v:textbox>
                <w10:anchorlock/>
              </v:rect>
            </w:pict>
          </mc:Fallback>
        </mc:AlternateContent>
      </w:r>
      <w:r w:rsidRPr="00E103A0">
        <w:rPr>
          <w:rFonts w:ascii="Times New Roman" w:eastAsia="Times New Roman" w:hAnsi="Times New Roman" w:cs="Times New Roman"/>
          <w:color w:val="494C4E"/>
          <w:spacing w:val="3"/>
          <w:sz w:val="24"/>
          <w:szCs w:val="24"/>
        </w:rPr>
        <w:br/>
      </w:r>
      <w:r w:rsidRPr="00E103A0">
        <w:rPr>
          <w:rFonts w:ascii="Times New Roman" w:eastAsia="Times New Roman" w:hAnsi="Times New Roman" w:cs="Times New Roman"/>
          <w:i/>
          <w:iCs/>
          <w:color w:val="494C4E"/>
          <w:spacing w:val="3"/>
          <w:sz w:val="24"/>
          <w:szCs w:val="24"/>
          <w:bdr w:val="none" w:sz="0" w:space="0" w:color="auto" w:frame="1"/>
        </w:rPr>
        <w:t>Figure 1. NIST CSF Core Breakdown (NIST, 2021)</w:t>
      </w:r>
    </w:p>
    <w:p w14:paraId="4337907E" w14:textId="77777777"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lastRenderedPageBreak/>
        <w:t>These core components are broken down into categories and subcategories as shown in figure 1 from NIST's website (2021). This framework gives security departments a guide to setting up the People, Policies, Processes, and Technologies to create a successful security program.</w:t>
      </w:r>
    </w:p>
    <w:p w14:paraId="45AEF822" w14:textId="77777777"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 xml:space="preserve">Next, we turn to a more specific problem to address with overseas asset protection: data sovereignty. If your company has technology, trade secrets, or anything else of value to competitors, you may have to be careful of which countries you allow it to enter. </w:t>
      </w:r>
      <w:proofErr w:type="gramStart"/>
      <w:r w:rsidRPr="00E103A0">
        <w:rPr>
          <w:rFonts w:ascii="Times New Roman" w:eastAsia="Times New Roman" w:hAnsi="Times New Roman" w:cs="Times New Roman"/>
          <w:color w:val="494C4E"/>
          <w:spacing w:val="3"/>
          <w:sz w:val="24"/>
          <w:szCs w:val="24"/>
        </w:rPr>
        <w:t>Oracle (2021),</w:t>
      </w:r>
      <w:proofErr w:type="gramEnd"/>
      <w:r w:rsidRPr="00E103A0">
        <w:rPr>
          <w:rFonts w:ascii="Times New Roman" w:eastAsia="Times New Roman" w:hAnsi="Times New Roman" w:cs="Times New Roman"/>
          <w:color w:val="494C4E"/>
          <w:spacing w:val="3"/>
          <w:sz w:val="24"/>
          <w:szCs w:val="24"/>
        </w:rPr>
        <w:t xml:space="preserve"> defines data sovereignty as the idea that the country in which data originates will have </w:t>
      </w:r>
      <w:proofErr w:type="spellStart"/>
      <w:r w:rsidRPr="00E103A0">
        <w:rPr>
          <w:rFonts w:ascii="Times New Roman" w:eastAsia="Times New Roman" w:hAnsi="Times New Roman" w:cs="Times New Roman"/>
          <w:color w:val="494C4E"/>
          <w:spacing w:val="3"/>
          <w:sz w:val="24"/>
          <w:szCs w:val="24"/>
        </w:rPr>
        <w:t>affect</w:t>
      </w:r>
      <w:proofErr w:type="spellEnd"/>
      <w:r w:rsidRPr="00E103A0">
        <w:rPr>
          <w:rFonts w:ascii="Times New Roman" w:eastAsia="Times New Roman" w:hAnsi="Times New Roman" w:cs="Times New Roman"/>
          <w:color w:val="494C4E"/>
          <w:spacing w:val="3"/>
          <w:sz w:val="24"/>
          <w:szCs w:val="24"/>
        </w:rPr>
        <w:t xml:space="preserve"> on it with their laws and regulations. An example of this would be medical data recorded about a patient in a US hospital having to be subject to HIPAA compliance because HIPAA is a law in the </w:t>
      </w:r>
      <w:proofErr w:type="gramStart"/>
      <w:r w:rsidRPr="00E103A0">
        <w:rPr>
          <w:rFonts w:ascii="Times New Roman" w:eastAsia="Times New Roman" w:hAnsi="Times New Roman" w:cs="Times New Roman"/>
          <w:color w:val="494C4E"/>
          <w:spacing w:val="3"/>
          <w:sz w:val="24"/>
          <w:szCs w:val="24"/>
        </w:rPr>
        <w:t>united states</w:t>
      </w:r>
      <w:proofErr w:type="gramEnd"/>
      <w:r w:rsidRPr="00E103A0">
        <w:rPr>
          <w:rFonts w:ascii="Times New Roman" w:eastAsia="Times New Roman" w:hAnsi="Times New Roman" w:cs="Times New Roman"/>
          <w:color w:val="494C4E"/>
          <w:spacing w:val="3"/>
          <w:sz w:val="24"/>
          <w:szCs w:val="24"/>
        </w:rPr>
        <w:t xml:space="preserve"> governing the protection and confidentiality of personal health information (PHI). Where this comes into play with asset protection is considering that some foreign countries may have right to steal your intellectual property and use it as their own or breach your privacy if your data is created or hosted in their country. </w:t>
      </w:r>
    </w:p>
    <w:p w14:paraId="6471F954" w14:textId="77777777"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 xml:space="preserve">In addition to data sovereignty, you should consider the OFAC's specially designated nationals and blocked persons list. This is a list of mostly foreign people or organizations that it is illegal for US citizens to do business with. This affects your business and assets because if you are looking to </w:t>
      </w:r>
      <w:proofErr w:type="gramStart"/>
      <w:r w:rsidRPr="00E103A0">
        <w:rPr>
          <w:rFonts w:ascii="Times New Roman" w:eastAsia="Times New Roman" w:hAnsi="Times New Roman" w:cs="Times New Roman"/>
          <w:color w:val="494C4E"/>
          <w:spacing w:val="3"/>
          <w:sz w:val="24"/>
          <w:szCs w:val="24"/>
        </w:rPr>
        <w:t>open up</w:t>
      </w:r>
      <w:proofErr w:type="gramEnd"/>
      <w:r w:rsidRPr="00E103A0">
        <w:rPr>
          <w:rFonts w:ascii="Times New Roman" w:eastAsia="Times New Roman" w:hAnsi="Times New Roman" w:cs="Times New Roman"/>
          <w:color w:val="494C4E"/>
          <w:spacing w:val="3"/>
          <w:sz w:val="24"/>
          <w:szCs w:val="24"/>
        </w:rPr>
        <w:t xml:space="preserve"> shop or sell to consumers overseas, you are responsible for ensuring that none of your customers fall on that list. The punishment according to Comply Advantage (2021) can be up to $20 million and up to 30 years in prison. Pretty serious punishments considering the average sentence for 1st degree murder is 17.3 years (William, 2020).</w:t>
      </w:r>
    </w:p>
    <w:p w14:paraId="03770893" w14:textId="77777777"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In summary, there are three main points that you should take away from this briefing:</w:t>
      </w:r>
    </w:p>
    <w:p w14:paraId="0890A8F3" w14:textId="77777777" w:rsidR="003473E9" w:rsidRPr="00E103A0" w:rsidRDefault="003473E9" w:rsidP="003473E9">
      <w:pPr>
        <w:numPr>
          <w:ilvl w:val="0"/>
          <w:numId w:val="2"/>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Implementing NIST CSF will help you build your security program up in general.</w:t>
      </w:r>
    </w:p>
    <w:p w14:paraId="30AE38F0" w14:textId="77777777" w:rsidR="003473E9" w:rsidRPr="00E103A0" w:rsidRDefault="003473E9" w:rsidP="003473E9">
      <w:pPr>
        <w:numPr>
          <w:ilvl w:val="0"/>
          <w:numId w:val="2"/>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Considering foreign nations' relationships with the US and US companies is crucial to understanding your risk for intellectual property theft or espionage.</w:t>
      </w:r>
    </w:p>
    <w:p w14:paraId="26CB0DAE" w14:textId="77777777" w:rsidR="003473E9" w:rsidRPr="00E103A0" w:rsidRDefault="003473E9" w:rsidP="003473E9">
      <w:pPr>
        <w:numPr>
          <w:ilvl w:val="0"/>
          <w:numId w:val="2"/>
        </w:numPr>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Checking to ensure that none of your prospective clients/customers are on the OFAC's SDN list will help keep you safe from fines and jail time.</w:t>
      </w:r>
    </w:p>
    <w:p w14:paraId="56D8926B" w14:textId="77777777" w:rsidR="003473E9" w:rsidRPr="00E103A0" w:rsidRDefault="003473E9" w:rsidP="003473E9">
      <w:pPr>
        <w:shd w:val="clear" w:color="auto" w:fill="FFFFFF"/>
        <w:spacing w:before="120" w:after="24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Combining these three strategy points will help you mitigate risks associated with digital asset theft when operating overseas.</w:t>
      </w:r>
    </w:p>
    <w:p w14:paraId="4D75F447" w14:textId="77777777" w:rsidR="003473E9" w:rsidRPr="00E103A0" w:rsidRDefault="003473E9" w:rsidP="003473E9">
      <w:pPr>
        <w:shd w:val="clear" w:color="auto" w:fill="FFFFFF"/>
        <w:spacing w:before="281" w:after="281" w:line="345" w:lineRule="atLeast"/>
        <w:outlineLvl w:val="2"/>
        <w:rPr>
          <w:rFonts w:ascii="Times New Roman" w:eastAsia="Times New Roman" w:hAnsi="Times New Roman" w:cs="Times New Roman"/>
          <w:b/>
          <w:bCs/>
          <w:color w:val="494C4E"/>
          <w:spacing w:val="3"/>
          <w:sz w:val="24"/>
          <w:szCs w:val="24"/>
        </w:rPr>
      </w:pPr>
      <w:r w:rsidRPr="00E103A0">
        <w:rPr>
          <w:rFonts w:ascii="Times New Roman" w:eastAsia="Times New Roman" w:hAnsi="Times New Roman" w:cs="Times New Roman"/>
          <w:b/>
          <w:bCs/>
          <w:color w:val="494C4E"/>
          <w:spacing w:val="3"/>
          <w:sz w:val="24"/>
          <w:szCs w:val="24"/>
        </w:rPr>
        <w:t>References</w:t>
      </w:r>
    </w:p>
    <w:p w14:paraId="412926BA" w14:textId="77777777" w:rsidR="003473E9" w:rsidRPr="00E103A0" w:rsidRDefault="003473E9" w:rsidP="003473E9">
      <w:pPr>
        <w:shd w:val="clear" w:color="auto" w:fill="FFFFFF"/>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Comply Advantage. (2021). </w:t>
      </w:r>
      <w:r w:rsidRPr="00E103A0">
        <w:rPr>
          <w:rFonts w:ascii="Times New Roman" w:eastAsia="Times New Roman" w:hAnsi="Times New Roman" w:cs="Times New Roman"/>
          <w:i/>
          <w:iCs/>
          <w:color w:val="494C4E"/>
          <w:spacing w:val="3"/>
          <w:sz w:val="24"/>
          <w:szCs w:val="24"/>
          <w:bdr w:val="none" w:sz="0" w:space="0" w:color="auto" w:frame="1"/>
        </w:rPr>
        <w:t>Consequences of OFAC sanctions violations</w:t>
      </w:r>
      <w:r w:rsidRPr="00E103A0">
        <w:rPr>
          <w:rFonts w:ascii="Times New Roman" w:eastAsia="Times New Roman" w:hAnsi="Times New Roman" w:cs="Times New Roman"/>
          <w:color w:val="494C4E"/>
          <w:spacing w:val="3"/>
          <w:sz w:val="24"/>
          <w:szCs w:val="24"/>
        </w:rPr>
        <w:t>. </w:t>
      </w:r>
      <w:hyperlink r:id="rId7" w:history="1">
        <w:r w:rsidRPr="00E103A0">
          <w:rPr>
            <w:rFonts w:ascii="Times New Roman" w:eastAsia="Times New Roman" w:hAnsi="Times New Roman" w:cs="Times New Roman"/>
            <w:color w:val="006FBF"/>
            <w:spacing w:val="3"/>
            <w:sz w:val="24"/>
            <w:szCs w:val="24"/>
            <w:u w:val="single"/>
            <w:bdr w:val="none" w:sz="0" w:space="0" w:color="auto" w:frame="1"/>
          </w:rPr>
          <w:t>https://complyadvantage.com/knowledgebase/what-are-sanctions/consequences-ofac-sanctions-violations/</w:t>
        </w:r>
      </w:hyperlink>
    </w:p>
    <w:p w14:paraId="62BF8CBA" w14:textId="77777777" w:rsidR="003473E9" w:rsidRPr="00E103A0" w:rsidRDefault="003473E9" w:rsidP="003473E9">
      <w:pPr>
        <w:shd w:val="clear" w:color="auto" w:fill="FFFFFF"/>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NIST. (2021, May 14). </w:t>
      </w:r>
      <w:r w:rsidRPr="00E103A0">
        <w:rPr>
          <w:rFonts w:ascii="Times New Roman" w:eastAsia="Times New Roman" w:hAnsi="Times New Roman" w:cs="Times New Roman"/>
          <w:i/>
          <w:iCs/>
          <w:color w:val="494C4E"/>
          <w:spacing w:val="3"/>
          <w:sz w:val="24"/>
          <w:szCs w:val="24"/>
          <w:bdr w:val="none" w:sz="0" w:space="0" w:color="auto" w:frame="1"/>
        </w:rPr>
        <w:t>An introduction to the components of the framework</w:t>
      </w:r>
      <w:r w:rsidRPr="00E103A0">
        <w:rPr>
          <w:rFonts w:ascii="Times New Roman" w:eastAsia="Times New Roman" w:hAnsi="Times New Roman" w:cs="Times New Roman"/>
          <w:color w:val="494C4E"/>
          <w:spacing w:val="3"/>
          <w:sz w:val="24"/>
          <w:szCs w:val="24"/>
        </w:rPr>
        <w:t>. Retrieved August 4, 2021, from </w:t>
      </w:r>
      <w:hyperlink r:id="rId8" w:history="1">
        <w:r w:rsidRPr="00E103A0">
          <w:rPr>
            <w:rFonts w:ascii="Times New Roman" w:eastAsia="Times New Roman" w:hAnsi="Times New Roman" w:cs="Times New Roman"/>
            <w:color w:val="006FBF"/>
            <w:spacing w:val="3"/>
            <w:sz w:val="24"/>
            <w:szCs w:val="24"/>
            <w:u w:val="single"/>
            <w:bdr w:val="none" w:sz="0" w:space="0" w:color="auto" w:frame="1"/>
          </w:rPr>
          <w:t>https://www.nist.gov/cyberframework/online-learning/components-framework</w:t>
        </w:r>
      </w:hyperlink>
    </w:p>
    <w:p w14:paraId="6986AFA2" w14:textId="77777777" w:rsidR="003473E9" w:rsidRPr="00E103A0" w:rsidRDefault="003473E9" w:rsidP="003473E9">
      <w:pPr>
        <w:shd w:val="clear" w:color="auto" w:fill="FFFFFF"/>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NIST. (2021). [Diagram]. </w:t>
      </w:r>
      <w:hyperlink r:id="rId9" w:history="1">
        <w:r w:rsidRPr="00E103A0">
          <w:rPr>
            <w:rFonts w:ascii="Times New Roman" w:eastAsia="Times New Roman" w:hAnsi="Times New Roman" w:cs="Times New Roman"/>
            <w:color w:val="006FBF"/>
            <w:spacing w:val="3"/>
            <w:sz w:val="24"/>
            <w:szCs w:val="24"/>
            <w:u w:val="single"/>
            <w:bdr w:val="none" w:sz="0" w:space="0" w:color="auto" w:frame="1"/>
          </w:rPr>
          <w:t>https://www.nist.gov/cyberframework/online-learning/components-framework</w:t>
        </w:r>
      </w:hyperlink>
    </w:p>
    <w:p w14:paraId="6F0CC18D" w14:textId="77777777" w:rsidR="003473E9" w:rsidRPr="00E103A0" w:rsidRDefault="003473E9" w:rsidP="003473E9">
      <w:pPr>
        <w:shd w:val="clear" w:color="auto" w:fill="FFFFFF"/>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t>Oracle. (2021). </w:t>
      </w:r>
      <w:r w:rsidRPr="00E103A0">
        <w:rPr>
          <w:rFonts w:ascii="Times New Roman" w:eastAsia="Times New Roman" w:hAnsi="Times New Roman" w:cs="Times New Roman"/>
          <w:i/>
          <w:iCs/>
          <w:color w:val="494C4E"/>
          <w:spacing w:val="3"/>
          <w:sz w:val="24"/>
          <w:szCs w:val="24"/>
          <w:bdr w:val="none" w:sz="0" w:space="0" w:color="auto" w:frame="1"/>
        </w:rPr>
        <w:t>What is data sovereignty?</w:t>
      </w:r>
      <w:r w:rsidRPr="00E103A0">
        <w:rPr>
          <w:rFonts w:ascii="Times New Roman" w:eastAsia="Times New Roman" w:hAnsi="Times New Roman" w:cs="Times New Roman"/>
          <w:color w:val="494C4E"/>
          <w:spacing w:val="3"/>
          <w:sz w:val="24"/>
          <w:szCs w:val="24"/>
        </w:rPr>
        <w:t> </w:t>
      </w:r>
      <w:hyperlink r:id="rId10" w:history="1">
        <w:r w:rsidRPr="00E103A0">
          <w:rPr>
            <w:rFonts w:ascii="Times New Roman" w:eastAsia="Times New Roman" w:hAnsi="Times New Roman" w:cs="Times New Roman"/>
            <w:color w:val="006FBF"/>
            <w:spacing w:val="3"/>
            <w:sz w:val="24"/>
            <w:szCs w:val="24"/>
            <w:u w:val="single"/>
            <w:bdr w:val="none" w:sz="0" w:space="0" w:color="auto" w:frame="1"/>
          </w:rPr>
          <w:t>https://www.oracle.com/security/saas-security/data-sovereignty/</w:t>
        </w:r>
      </w:hyperlink>
    </w:p>
    <w:p w14:paraId="576A270C" w14:textId="77777777" w:rsidR="003473E9" w:rsidRPr="00E103A0" w:rsidRDefault="003473E9" w:rsidP="003473E9">
      <w:pPr>
        <w:shd w:val="clear" w:color="auto" w:fill="FFFFFF"/>
        <w:spacing w:after="0" w:line="240" w:lineRule="auto"/>
        <w:rPr>
          <w:rFonts w:ascii="Times New Roman" w:eastAsia="Times New Roman" w:hAnsi="Times New Roman" w:cs="Times New Roman"/>
          <w:color w:val="494C4E"/>
          <w:spacing w:val="3"/>
          <w:sz w:val="24"/>
          <w:szCs w:val="24"/>
        </w:rPr>
      </w:pPr>
      <w:r w:rsidRPr="00E103A0">
        <w:rPr>
          <w:rFonts w:ascii="Times New Roman" w:eastAsia="Times New Roman" w:hAnsi="Times New Roman" w:cs="Times New Roman"/>
          <w:color w:val="494C4E"/>
          <w:spacing w:val="3"/>
          <w:sz w:val="24"/>
          <w:szCs w:val="24"/>
        </w:rPr>
        <w:lastRenderedPageBreak/>
        <w:t>William. (2020, October 15). </w:t>
      </w:r>
      <w:r w:rsidRPr="00E103A0">
        <w:rPr>
          <w:rFonts w:ascii="Times New Roman" w:eastAsia="Times New Roman" w:hAnsi="Times New Roman" w:cs="Times New Roman"/>
          <w:i/>
          <w:iCs/>
          <w:color w:val="494C4E"/>
          <w:spacing w:val="3"/>
          <w:sz w:val="24"/>
          <w:szCs w:val="24"/>
          <w:bdr w:val="none" w:sz="0" w:space="0" w:color="auto" w:frame="1"/>
        </w:rPr>
        <w:t>What are the average and maximum jail times served?</w:t>
      </w:r>
      <w:r w:rsidRPr="00E103A0">
        <w:rPr>
          <w:rFonts w:ascii="Times New Roman" w:eastAsia="Times New Roman" w:hAnsi="Times New Roman" w:cs="Times New Roman"/>
          <w:color w:val="494C4E"/>
          <w:spacing w:val="3"/>
          <w:sz w:val="24"/>
          <w:szCs w:val="24"/>
        </w:rPr>
        <w:t xml:space="preserve"> Blackford &amp; </w:t>
      </w:r>
      <w:proofErr w:type="spellStart"/>
      <w:r w:rsidRPr="00E103A0">
        <w:rPr>
          <w:rFonts w:ascii="Times New Roman" w:eastAsia="Times New Roman" w:hAnsi="Times New Roman" w:cs="Times New Roman"/>
          <w:color w:val="494C4E"/>
          <w:spacing w:val="3"/>
          <w:sz w:val="24"/>
          <w:szCs w:val="24"/>
        </w:rPr>
        <w:t>Flohr</w:t>
      </w:r>
      <w:proofErr w:type="spellEnd"/>
      <w:r w:rsidRPr="00E103A0">
        <w:rPr>
          <w:rFonts w:ascii="Times New Roman" w:eastAsia="Times New Roman" w:hAnsi="Times New Roman" w:cs="Times New Roman"/>
          <w:color w:val="494C4E"/>
          <w:spacing w:val="3"/>
          <w:sz w:val="24"/>
          <w:szCs w:val="24"/>
        </w:rPr>
        <w:t xml:space="preserve"> LLC. Retrieved August 3, 2021, from </w:t>
      </w:r>
      <w:hyperlink r:id="rId11" w:history="1">
        <w:r w:rsidRPr="00E103A0">
          <w:rPr>
            <w:rFonts w:ascii="Times New Roman" w:eastAsia="Times New Roman" w:hAnsi="Times New Roman" w:cs="Times New Roman"/>
            <w:color w:val="006FBF"/>
            <w:spacing w:val="3"/>
            <w:sz w:val="24"/>
            <w:szCs w:val="24"/>
            <w:u w:val="single"/>
            <w:bdr w:val="none" w:sz="0" w:space="0" w:color="auto" w:frame="1"/>
          </w:rPr>
          <w:t>https://bflawmd.com/average-maximum-jail-time-common-crimes/</w:t>
        </w:r>
      </w:hyperlink>
    </w:p>
    <w:p w14:paraId="1E475A03" w14:textId="77777777" w:rsidR="003D7402" w:rsidRPr="00E103A0" w:rsidRDefault="003D7402">
      <w:pPr>
        <w:rPr>
          <w:rFonts w:ascii="Times New Roman" w:hAnsi="Times New Roman" w:cs="Times New Roman"/>
          <w:sz w:val="24"/>
          <w:szCs w:val="24"/>
        </w:rPr>
      </w:pPr>
    </w:p>
    <w:sectPr w:rsidR="003D7402" w:rsidRPr="00E10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937"/>
    <w:multiLevelType w:val="multilevel"/>
    <w:tmpl w:val="9DC4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2B215C"/>
    <w:multiLevelType w:val="multilevel"/>
    <w:tmpl w:val="DE96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E9"/>
    <w:rsid w:val="00137C3A"/>
    <w:rsid w:val="003473E9"/>
    <w:rsid w:val="003D7402"/>
    <w:rsid w:val="004708E0"/>
    <w:rsid w:val="009D3277"/>
    <w:rsid w:val="00D260A1"/>
    <w:rsid w:val="00E103A0"/>
    <w:rsid w:val="00E62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5B7A"/>
  <w15:chartTrackingRefBased/>
  <w15:docId w15:val="{0244C812-C6FD-43DF-BCB3-EF271FF8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9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473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73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73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73E9"/>
    <w:rPr>
      <w:i/>
      <w:iCs/>
    </w:rPr>
  </w:style>
  <w:style w:type="character" w:styleId="Hyperlink">
    <w:name w:val="Hyperlink"/>
    <w:basedOn w:val="DefaultParagraphFont"/>
    <w:uiPriority w:val="99"/>
    <w:semiHidden/>
    <w:unhideWhenUsed/>
    <w:rsid w:val="003473E9"/>
    <w:rPr>
      <w:color w:val="0000FF"/>
      <w:u w:val="single"/>
    </w:rPr>
  </w:style>
  <w:style w:type="character" w:customStyle="1" w:styleId="Heading1Char">
    <w:name w:val="Heading 1 Char"/>
    <w:basedOn w:val="DefaultParagraphFont"/>
    <w:link w:val="Heading1"/>
    <w:uiPriority w:val="9"/>
    <w:rsid w:val="00E629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29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9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framework/online-learning/components-framewo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mplyadvantage.com/knowledgebase/what-are-sanctions/consequences-ofac-sanctions-violat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hyperlink" Target="https://bflawmd.com/average-maximum-jail-time-common-crimes/" TargetMode="External"/><Relationship Id="rId5" Type="http://schemas.openxmlformats.org/officeDocument/2006/relationships/image" Target="media/image1.png"/><Relationship Id="rId10" Type="http://schemas.openxmlformats.org/officeDocument/2006/relationships/hyperlink" Target="https://www.oracle.com/security/saas-security/data-sovereignty/" TargetMode="External"/><Relationship Id="rId4" Type="http://schemas.openxmlformats.org/officeDocument/2006/relationships/webSettings" Target="webSettings.xml"/><Relationship Id="rId9" Type="http://schemas.openxmlformats.org/officeDocument/2006/relationships/hyperlink" Target="https://www.nist.gov/cyberframework/online-learning/componen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Gandalf The Grey</dc:creator>
  <cp:keywords/>
  <dc:description/>
  <cp:lastModifiedBy>Gandalf The Grey</cp:lastModifiedBy>
  <cp:revision>8</cp:revision>
  <dcterms:created xsi:type="dcterms:W3CDTF">2021-08-11T02:55:00Z</dcterms:created>
  <dcterms:modified xsi:type="dcterms:W3CDTF">2021-11-18T00:25:00Z</dcterms:modified>
</cp:coreProperties>
</file>