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0"/>
          <w:szCs w:val="40"/>
        </w:rPr>
        <w:t xml:space="preserve">Unified Communications Platform (UCP) — Career Evidence Dossier</w:t>
      </w:r>
    </w:p>
    <w:p>
      <w:pPr>
        <w:spacing w:after="140" w:before="60" w:line="276"/>
      </w:pPr>
      <w:r>
        <w:rPr>
          <w:b/>
          <w:bCs/>
          <w:sz w:val="20"/>
          <w:szCs w:val="20"/>
        </w:rPr>
        <w:t xml:space="preserve">Audit date:</w:t>
      </w:r>
      <w:r>
        <w:rPr>
          <w:sz w:val="20"/>
          <w:szCs w:val="20"/>
        </w:rPr>
        <w:t xml:space="preserve"> 8 October 2026 · </w:t>
      </w:r>
      <w:r>
        <w:rPr>
          <w:b/>
          <w:bCs/>
          <w:sz w:val="20"/>
          <w:szCs w:val="20"/>
        </w:rPr>
        <w:t xml:space="preserve">Revised:</w:t>
      </w:r>
      <w:r>
        <w:rPr>
          <w:sz w:val="20"/>
          <w:szCs w:val="20"/>
        </w:rPr>
        <w:t xml:space="preserve"> 10 October 2026 with subject-provided origin context, corroborated against legacy source where possible</w:t>
      </w:r>
    </w:p>
    <w:p>
      <w:pPr>
        <w:spacing w:after="140" w:before="60" w:line="276"/>
      </w:pPr>
      <w:r>
        <w:rPr>
          <w:b/>
          <w:bCs/>
          <w:sz w:val="20"/>
          <w:szCs w:val="20"/>
        </w:rPr>
        <w:t xml:space="preserve">Subject:</w:t>
      </w:r>
      <w:r>
        <w:rPr>
          <w:sz w:val="20"/>
          <w:szCs w:val="20"/>
        </w:rPr>
        <w:t xml:space="preserve"> Abraham Akintola</w:t>
      </w:r>
    </w:p>
    <w:p>
      <w:pPr>
        <w:spacing w:after="140" w:before="60" w:line="276"/>
      </w:pPr>
      <w:r>
        <w:rPr>
          <w:b/>
          <w:bCs/>
          <w:sz w:val="20"/>
          <w:szCs w:val="20"/>
        </w:rPr>
        <w:t xml:space="preserve">Evidence sources:</w:t>
      </w:r>
      <w:r>
        <w:rPr>
          <w:sz w:val="20"/>
          <w:szCs w:val="20"/>
        </w:rPr>
        <w:t xml:space="preserve"> source repositories (including the two legacy systems replaced), Git history, project documentation, read-only queries against the production PostgreSQL database, and subject testimony (labelled as such).</w:t>
      </w:r>
    </w:p>
    <w:p>
      <w:pPr>
        <w:pBdr>
          <w:left w:val="single" w:color="1F3864" w:sz="12" w:space="8"/>
        </w:pBdr>
        <w:shd w:fill="F4F6FB" w:color="auto" w:val="clear"/>
        <w:spacing w:after="160" w:before="140"/>
        <w:ind w:left="240" w:right="160"/>
      </w:pPr>
      <w:r>
        <w:rPr>
          <w:b/>
          <w:bCs/>
          <w:sz w:val="19"/>
          <w:szCs w:val="19"/>
        </w:rPr>
        <w:t xml:space="preserve">Evidence levels used throughout:</w:t>
      </w:r>
      <w:r>
        <w:rPr>
          <w:sz w:val="19"/>
          <w:szCs w:val="19"/>
        </w:rPr>
        <w:t xml:space="preserve"> </w:t>
      </w:r>
      <w:r>
        <w:rPr>
          <w:b/>
          <w:bCs/>
          <w:sz w:val="19"/>
          <w:szCs w:val="19"/>
        </w:rPr>
        <w:t xml:space="preserve">VERIFIED</w:t>
      </w:r>
      <w:r>
        <w:rPr>
          <w:sz w:val="19"/>
          <w:szCs w:val="19"/>
        </w:rPr>
        <w:t xml:space="preserve"> (directly observed in code, Git, or production data) · </w:t>
      </w:r>
      <w:r>
        <w:rPr>
          <w:b/>
          <w:bCs/>
          <w:sz w:val="19"/>
          <w:szCs w:val="19"/>
        </w:rPr>
        <w:t xml:space="preserve">DERIVED</w:t>
      </w:r>
      <w:r>
        <w:rPr>
          <w:sz w:val="19"/>
          <w:szCs w:val="19"/>
        </w:rPr>
        <w:t xml:space="preserve"> (calculated from verified figures) · </w:t>
      </w:r>
      <w:r>
        <w:rPr>
          <w:b/>
          <w:bCs/>
          <w:sz w:val="19"/>
          <w:szCs w:val="19"/>
        </w:rPr>
        <w:t xml:space="preserve">STRONGLY SUPPORTED</w:t>
      </w:r>
      <w:r>
        <w:rPr>
          <w:sz w:val="19"/>
          <w:szCs w:val="19"/>
        </w:rPr>
        <w:t xml:space="preserve"> (multiple converging signals, not provable) · </w:t>
      </w:r>
      <w:r>
        <w:rPr>
          <w:b/>
          <w:bCs/>
          <w:sz w:val="19"/>
          <w:szCs w:val="19"/>
        </w:rPr>
        <w:t xml:space="preserve">INFERRED</w:t>
      </w:r>
      <w:r>
        <w:rPr>
          <w:sz w:val="19"/>
          <w:szCs w:val="19"/>
        </w:rPr>
        <w:t xml:space="preserve"> (plausible from architecture, no direct evidence) · </w:t>
      </w:r>
      <w:r>
        <w:rPr>
          <w:b/>
          <w:bCs/>
          <w:sz w:val="19"/>
          <w:szCs w:val="19"/>
        </w:rPr>
        <w:t xml:space="preserve">UNKNOWN</w:t>
      </w:r>
      <w:r>
        <w:rPr>
          <w:sz w:val="19"/>
          <w:szCs w:val="19"/>
        </w:rPr>
        <w:t xml:space="preserve"> (requires confirmation).</w:t>
      </w:r>
    </w:p>
    <w:p>
      <w:pPr>
        <w:pStyle w:val="Heading1"/>
        <w:pBdr>
          <w:bottom w:val="single" w:color="BFBFBF" w:sz="6" w:space="6"/>
        </w:pBdr>
        <w:spacing w:after="160" w:before="360"/>
      </w:pPr>
      <w:r>
        <w:rPr>
          <w:b/>
          <w:bCs/>
          <w:color w:val="1F3864"/>
          <w:sz w:val="28"/>
          <w:szCs w:val="28"/>
        </w:rPr>
        <w:t xml:space="preserve">1. Executive Summary</w:t>
      </w:r>
    </w:p>
    <w:p>
      <w:pPr>
        <w:spacing w:after="140" w:before="60" w:line="276"/>
      </w:pPr>
      <w:r>
        <w:rPr>
          <w:sz w:val="20"/>
          <w:szCs w:val="20"/>
        </w:rPr>
        <w:t xml:space="preserve">UCP is an internal, governed outbound-communications platform built for a UK insurance broker. It exists because the company's customer communications were scattered across systems with no central visibility: no one could see which customers had been contacted, through what, or whether messages had actually arrived — and when a process failed silently, staff re-triggered emails by hand. Executive stakeholders asked for every company communication to run through one monitored place.</w:t>
      </w:r>
    </w:p>
    <w:p>
      <w:pPr>
        <w:spacing w:after="140" w:before="60" w:line="276"/>
      </w:pPr>
      <w:r>
        <w:rPr>
          <w:sz w:val="20"/>
          <w:szCs w:val="20"/>
        </w:rPr>
        <w:t xml:space="preserve">UCP replaced </w:t>
      </w:r>
      <w:r>
        <w:rPr>
          <w:b/>
          <w:bCs/>
          <w:sz w:val="20"/>
          <w:szCs w:val="20"/>
        </w:rPr>
        <w:t xml:space="preserve">two</w:t>
      </w:r>
      <w:r>
        <w:rPr>
          <w:sz w:val="20"/>
          <w:szCs w:val="20"/>
        </w:rPr>
        <w:t xml:space="preserve"> legacy systems: a Google Apps Script estate that orchestrated the business processes, and </w:t>
      </w:r>
      <w:r>
        <w:rPr>
          <w:rFonts w:ascii="Consolas" w:cs="Consolas" w:eastAsia="Consolas" w:hAnsi="Consolas"/>
          <w:sz w:val="18"/>
          <w:szCs w:val="18"/>
        </w:rPr>
        <w:t xml:space="preserve">iros-mail</w:t>
      </w:r>
      <w:r>
        <w:rPr>
          <w:sz w:val="20"/>
          <w:szCs w:val="20"/>
        </w:rPr>
        <w:t xml:space="preserve">, a .NET 8 Azure Functions microservice that rendered and sent the email. In their place it provides campaign definition, approval workflow, audience sourcing, queue-backed execution, multi-provider delivery across Email/SMS/WhatsApp, delivery reconciliation, suppression, per-customer communication history, operational reporting, and a complete audit trail — plus a backwards-compatible API so other internal systems send </w:t>
      </w:r>
      <w:r>
        <w:rPr>
          <w:i/>
          <w:iCs/>
          <w:sz w:val="20"/>
          <w:szCs w:val="20"/>
        </w:rPr>
        <w:t xml:space="preserve">through</w:t>
      </w:r>
      <w:r>
        <w:rPr>
          <w:sz w:val="20"/>
          <w:szCs w:val="20"/>
        </w:rPr>
        <w:t xml:space="preserve"> UCP rather than around it.</w:t>
      </w:r>
    </w:p>
    <w:p>
      <w:pPr>
        <w:spacing w:after="140" w:before="60" w:line="276"/>
      </w:pPr>
      <w:r>
        <w:rPr>
          <w:b/>
          <w:bCs/>
          <w:sz w:val="20"/>
          <w:szCs w:val="20"/>
        </w:rPr>
        <w:t xml:space="preserve">Scale established from production data (queried read-only, 8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DF0F7" w:color="auto" w:val="clear"/>
            <w:tcMar>
              <w:top w:type="dxa" w:w="60"/>
              <w:left w:type="dxa" w:w="100"/>
              <w:bottom w:type="dxa" w:w="60"/>
              <w:right w:type="dxa" w:w="100"/>
            </w:tcMar>
          </w:tcPr>
          <w:p>
            <w:pPr>
              <w:spacing w:after="0" w:before="0"/>
            </w:pPr>
            <w:r>
              <w:rPr>
                <w:b/>
                <w:bCs/>
                <w:sz w:val="18"/>
                <w:szCs w:val="18"/>
              </w:rPr>
              <w:t xml:space="preserve">Measure</w:t>
            </w:r>
          </w:p>
        </w:tc>
        <w:tc>
          <w:tcPr>
            <w:tcW w:type="dxa" w:w="3008"/>
            <w:shd w:fill="EDF0F7" w:color="auto" w:val="clear"/>
            <w:tcMar>
              <w:top w:type="dxa" w:w="60"/>
              <w:left w:type="dxa" w:w="100"/>
              <w:bottom w:type="dxa" w:w="60"/>
              <w:right w:type="dxa" w:w="100"/>
            </w:tcMar>
          </w:tcPr>
          <w:p>
            <w:pPr>
              <w:spacing w:after="0" w:before="0"/>
            </w:pPr>
            <w:r>
              <w:rPr>
                <w:b/>
                <w:bCs/>
                <w:sz w:val="18"/>
                <w:szCs w:val="18"/>
              </w:rPr>
              <w:t xml:space="preserve">Figure</w:t>
            </w:r>
          </w:p>
        </w:tc>
        <w:tc>
          <w:tcPr>
            <w:tcW w:type="dxa" w:w="3008"/>
            <w:shd w:fill="EDF0F7" w:color="auto" w:val="clear"/>
            <w:tcMar>
              <w:top w:type="dxa" w:w="60"/>
              <w:left w:type="dxa" w:w="100"/>
              <w:bottom w:type="dxa" w:w="60"/>
              <w:right w:type="dxa" w:w="100"/>
            </w:tcMar>
          </w:tcPr>
          <w:p>
            <w:pPr>
              <w:spacing w:after="0" w:before="0"/>
            </w:pPr>
            <w:r>
              <w:rPr>
                <w:b/>
                <w:bCs/>
                <w:sz w:val="18"/>
                <w:szCs w:val="18"/>
              </w:rPr>
              <w:t xml:space="preserve">Window</w:t>
            </w:r>
          </w:p>
        </w:tc>
      </w:tr>
      <w:tr>
        <w:tc>
          <w:tcPr>
            <w:tcW w:type="dxa" w:w="3010"/>
            <w:tcMar>
              <w:top w:type="dxa" w:w="60"/>
              <w:left w:type="dxa" w:w="100"/>
              <w:bottom w:type="dxa" w:w="60"/>
              <w:right w:type="dxa" w:w="100"/>
            </w:tcMar>
          </w:tcPr>
          <w:p>
            <w:pPr>
              <w:spacing w:after="0" w:before="0"/>
            </w:pPr>
            <w:r>
              <w:rPr>
                <w:sz w:val="18"/>
                <w:szCs w:val="18"/>
              </w:rPr>
              <w:t xml:space="preserve">Campaign messages dispatched</w:t>
            </w:r>
          </w:p>
        </w:tc>
        <w:tc>
          <w:tcPr>
            <w:tcW w:type="dxa" w:w="3008"/>
            <w:tcMar>
              <w:top w:type="dxa" w:w="60"/>
              <w:left w:type="dxa" w:w="100"/>
              <w:bottom w:type="dxa" w:w="60"/>
              <w:right w:type="dxa" w:w="100"/>
            </w:tcMar>
          </w:tcPr>
          <w:p>
            <w:pPr>
              <w:spacing w:after="0" w:before="0"/>
            </w:pPr>
            <w:r>
              <w:rPr>
                <w:b/>
                <w:bCs/>
                <w:sz w:val="18"/>
                <w:szCs w:val="18"/>
              </w:rPr>
              <w:t xml:space="preserve">85,482</w:t>
            </w:r>
          </w:p>
        </w:tc>
        <w:tc>
          <w:tcPr>
            <w:tcW w:type="dxa" w:w="3008"/>
            <w:tcMar>
              <w:top w:type="dxa" w:w="60"/>
              <w:left w:type="dxa" w:w="100"/>
              <w:bottom w:type="dxa" w:w="60"/>
              <w:right w:type="dxa" w:w="100"/>
            </w:tcMar>
          </w:tcPr>
          <w:p>
            <w:pPr>
              <w:spacing w:after="0" w:before="0"/>
            </w:pPr>
            <w:r>
              <w:rPr>
                <w:sz w:val="18"/>
                <w:szCs w:val="18"/>
              </w:rPr>
              <w:t xml:space="preserve">26 Jun – 8 Oct 2026</w:t>
            </w:r>
          </w:p>
        </w:tc>
      </w:tr>
      <w:tr>
        <w:tc>
          <w:tcPr>
            <w:tcW w:type="dxa" w:w="3010"/>
            <w:tcMar>
              <w:top w:type="dxa" w:w="60"/>
              <w:left w:type="dxa" w:w="100"/>
              <w:bottom w:type="dxa" w:w="60"/>
              <w:right w:type="dxa" w:w="100"/>
            </w:tcMar>
          </w:tcPr>
          <w:p>
            <w:pPr>
              <w:spacing w:after="0" w:before="0"/>
            </w:pPr>
            <w:r>
              <w:rPr>
                <w:sz w:val="18"/>
                <w:szCs w:val="18"/>
              </w:rPr>
              <w:t xml:space="preserve">External-service API emails</w:t>
            </w:r>
          </w:p>
        </w:tc>
        <w:tc>
          <w:tcPr>
            <w:tcW w:type="dxa" w:w="3008"/>
            <w:tcMar>
              <w:top w:type="dxa" w:w="60"/>
              <w:left w:type="dxa" w:w="100"/>
              <w:bottom w:type="dxa" w:w="60"/>
              <w:right w:type="dxa" w:w="100"/>
            </w:tcMar>
          </w:tcPr>
          <w:p>
            <w:pPr>
              <w:spacing w:after="0" w:before="0"/>
            </w:pPr>
            <w:r>
              <w:rPr>
                <w:b/>
                <w:bCs/>
                <w:sz w:val="18"/>
                <w:szCs w:val="18"/>
              </w:rPr>
              <w:t xml:space="preserve">18,113</w:t>
            </w:r>
          </w:p>
        </w:tc>
        <w:tc>
          <w:tcPr>
            <w:tcW w:type="dxa" w:w="3008"/>
            <w:tcMar>
              <w:top w:type="dxa" w:w="60"/>
              <w:left w:type="dxa" w:w="100"/>
              <w:bottom w:type="dxa" w:w="60"/>
              <w:right w:type="dxa" w:w="100"/>
            </w:tcMar>
          </w:tcPr>
          <w:p>
            <w:pPr>
              <w:spacing w:after="0" w:before="0"/>
            </w:pPr>
            <w:r>
              <w:rPr>
                <w:sz w:val="18"/>
                <w:szCs w:val="18"/>
              </w:rPr>
              <w:t xml:space="preserve">11 May – 8 Oct 2026</w:t>
            </w:r>
          </w:p>
        </w:tc>
      </w:tr>
      <w:tr>
        <w:tc>
          <w:tcPr>
            <w:tcW w:type="dxa" w:w="3010"/>
            <w:tcMar>
              <w:top w:type="dxa" w:w="60"/>
              <w:left w:type="dxa" w:w="100"/>
              <w:bottom w:type="dxa" w:w="60"/>
              <w:right w:type="dxa" w:w="100"/>
            </w:tcMar>
          </w:tcPr>
          <w:p>
            <w:pPr>
              <w:spacing w:after="0" w:before="0"/>
            </w:pPr>
            <w:r>
              <w:rPr>
                <w:sz w:val="18"/>
                <w:szCs w:val="18"/>
              </w:rPr>
              <w:t xml:space="preserve">Audit events recorded</w:t>
            </w:r>
          </w:p>
        </w:tc>
        <w:tc>
          <w:tcPr>
            <w:tcW w:type="dxa" w:w="3008"/>
            <w:tcMar>
              <w:top w:type="dxa" w:w="60"/>
              <w:left w:type="dxa" w:w="100"/>
              <w:bottom w:type="dxa" w:w="60"/>
              <w:right w:type="dxa" w:w="100"/>
            </w:tcMar>
          </w:tcPr>
          <w:p>
            <w:pPr>
              <w:spacing w:after="0" w:before="0"/>
            </w:pPr>
            <w:r>
              <w:rPr>
                <w:b/>
                <w:bCs/>
                <w:sz w:val="18"/>
                <w:szCs w:val="18"/>
              </w:rPr>
              <w:t xml:space="preserve">364,430</w:t>
            </w:r>
          </w:p>
        </w:tc>
        <w:tc>
          <w:tcPr>
            <w:tcW w:type="dxa" w:w="3008"/>
            <w:tcMar>
              <w:top w:type="dxa" w:w="60"/>
              <w:left w:type="dxa" w:w="100"/>
              <w:bottom w:type="dxa" w:w="60"/>
              <w:right w:type="dxa" w:w="100"/>
            </w:tcMar>
          </w:tcPr>
          <w:p>
            <w:pPr>
              <w:spacing w:after="0" w:before="0"/>
            </w:pPr>
            <w:r>
              <w:rPr>
                <w:sz w:val="18"/>
                <w:szCs w:val="18"/>
              </w:rPr>
              <w:t xml:space="preserve">30 Apr – 8 Oct 2026</w:t>
            </w:r>
          </w:p>
        </w:tc>
      </w:tr>
      <w:tr>
        <w:tc>
          <w:tcPr>
            <w:tcW w:type="dxa" w:w="3010"/>
            <w:tcMar>
              <w:top w:type="dxa" w:w="60"/>
              <w:left w:type="dxa" w:w="100"/>
              <w:bottom w:type="dxa" w:w="60"/>
              <w:right w:type="dxa" w:w="100"/>
            </w:tcMar>
          </w:tcPr>
          <w:p>
            <w:pPr>
              <w:spacing w:after="0" w:before="0"/>
            </w:pPr>
            <w:r>
              <w:rPr>
                <w:sz w:val="18"/>
                <w:szCs w:val="18"/>
              </w:rPr>
              <w:t xml:space="preserve">Automated source-polling runs</w:t>
            </w:r>
          </w:p>
        </w:tc>
        <w:tc>
          <w:tcPr>
            <w:tcW w:type="dxa" w:w="3008"/>
            <w:tcMar>
              <w:top w:type="dxa" w:w="60"/>
              <w:left w:type="dxa" w:w="100"/>
              <w:bottom w:type="dxa" w:w="60"/>
              <w:right w:type="dxa" w:w="100"/>
            </w:tcMar>
          </w:tcPr>
          <w:p>
            <w:pPr>
              <w:spacing w:after="0" w:before="0"/>
            </w:pPr>
            <w:r>
              <w:rPr>
                <w:b/>
                <w:bCs/>
                <w:sz w:val="18"/>
                <w:szCs w:val="18"/>
              </w:rPr>
              <w:t xml:space="preserve">149,321</w:t>
            </w:r>
            <w:r>
              <w:rPr>
                <w:sz w:val="18"/>
                <w:szCs w:val="18"/>
              </w:rPr>
              <w:t xml:space="preserve"> (99.83% success)</w:t>
            </w:r>
          </w:p>
        </w:tc>
        <w:tc>
          <w:tcPr>
            <w:tcW w:type="dxa" w:w="3008"/>
            <w:tcMar>
              <w:top w:type="dxa" w:w="60"/>
              <w:left w:type="dxa" w:w="100"/>
              <w:bottom w:type="dxa" w:w="60"/>
              <w:right w:type="dxa" w:w="100"/>
            </w:tcMar>
          </w:tcPr>
          <w:p>
            <w:pPr>
              <w:spacing w:after="0" w:before="0"/>
            </w:pPr>
            <w:r>
              <w:rPr>
                <w:sz w:val="18"/>
                <w:szCs w:val="18"/>
              </w:rPr>
              <w:t xml:space="preserve">25 Jun – 8 Oct 2026</w:t>
            </w:r>
          </w:p>
        </w:tc>
      </w:tr>
      <w:tr>
        <w:tc>
          <w:tcPr>
            <w:tcW w:type="dxa" w:w="3010"/>
            <w:tcMar>
              <w:top w:type="dxa" w:w="60"/>
              <w:left w:type="dxa" w:w="100"/>
              <w:bottom w:type="dxa" w:w="60"/>
              <w:right w:type="dxa" w:w="100"/>
            </w:tcMar>
          </w:tcPr>
          <w:p>
            <w:pPr>
              <w:spacing w:after="0" w:before="0"/>
            </w:pPr>
            <w:r>
              <w:rPr>
                <w:sz w:val="18"/>
                <w:szCs w:val="18"/>
              </w:rPr>
              <w:t xml:space="preserve">Campaign execution runs</w:t>
            </w:r>
          </w:p>
        </w:tc>
        <w:tc>
          <w:tcPr>
            <w:tcW w:type="dxa" w:w="3008"/>
            <w:tcMar>
              <w:top w:type="dxa" w:w="60"/>
              <w:left w:type="dxa" w:w="100"/>
              <w:bottom w:type="dxa" w:w="60"/>
              <w:right w:type="dxa" w:w="100"/>
            </w:tcMar>
          </w:tcPr>
          <w:p>
            <w:pPr>
              <w:spacing w:after="0" w:before="0"/>
            </w:pPr>
            <w:r>
              <w:rPr>
                <w:b/>
                <w:bCs/>
                <w:sz w:val="18"/>
                <w:szCs w:val="18"/>
              </w:rPr>
              <w:t xml:space="preserve">5,261</w:t>
            </w:r>
            <w:r>
              <w:rPr>
                <w:sz w:val="18"/>
                <w:szCs w:val="18"/>
              </w:rPr>
              <w:t xml:space="preserve"> (99.92% non-cancelled)</w:t>
            </w:r>
          </w:p>
        </w:tc>
        <w:tc>
          <w:tcPr>
            <w:tcW w:type="dxa" w:w="3008"/>
            <w:tcMar>
              <w:top w:type="dxa" w:w="60"/>
              <w:left w:type="dxa" w:w="100"/>
              <w:bottom w:type="dxa" w:w="60"/>
              <w:right w:type="dxa" w:w="100"/>
            </w:tcMar>
          </w:tcPr>
          <w:p>
            <w:pPr>
              <w:spacing w:after="0" w:before="0"/>
            </w:pPr>
            <w:r>
              <w:rPr>
                <w:sz w:val="18"/>
                <w:szCs w:val="18"/>
              </w:rPr>
              <w:t xml:space="preserve">to 8 Oct 2026</w:t>
            </w:r>
          </w:p>
        </w:tc>
      </w:tr>
      <w:tr>
        <w:tc>
          <w:tcPr>
            <w:tcW w:type="dxa" w:w="3010"/>
            <w:tcMar>
              <w:top w:type="dxa" w:w="60"/>
              <w:left w:type="dxa" w:w="100"/>
              <w:bottom w:type="dxa" w:w="60"/>
              <w:right w:type="dxa" w:w="100"/>
            </w:tcMar>
          </w:tcPr>
          <w:p>
            <w:pPr>
              <w:spacing w:after="0" w:before="0"/>
            </w:pPr>
            <w:r>
              <w:rPr>
                <w:sz w:val="18"/>
                <w:szCs w:val="18"/>
              </w:rPr>
              <w:t xml:space="preserve">Email failure+bounce rate</w:t>
            </w:r>
          </w:p>
        </w:tc>
        <w:tc>
          <w:tcPr>
            <w:tcW w:type="dxa" w:w="3008"/>
            <w:tcMar>
              <w:top w:type="dxa" w:w="60"/>
              <w:left w:type="dxa" w:w="100"/>
              <w:bottom w:type="dxa" w:w="60"/>
              <w:right w:type="dxa" w:w="100"/>
            </w:tcMar>
          </w:tcPr>
          <w:p>
            <w:pPr>
              <w:spacing w:after="0" w:before="0"/>
            </w:pPr>
            <w:r>
              <w:rPr>
                <w:b/>
                <w:bCs/>
                <w:sz w:val="18"/>
                <w:szCs w:val="18"/>
              </w:rPr>
              <w:t xml:space="preserve">1.07%</w:t>
            </w:r>
          </w:p>
        </w:tc>
        <w:tc>
          <w:tcPr>
            <w:tcW w:type="dxa" w:w="3008"/>
            <w:tcMar>
              <w:top w:type="dxa" w:w="60"/>
              <w:left w:type="dxa" w:w="100"/>
              <w:bottom w:type="dxa" w:w="60"/>
              <w:right w:type="dxa" w:w="100"/>
            </w:tcMar>
          </w:tcPr>
          <w:p>
            <w:pPr>
              <w:spacing w:after="0" w:before="0"/>
            </w:pPr>
            <w:r>
              <w:rPr>
                <w:sz w:val="18"/>
                <w:szCs w:val="18"/>
              </w:rPr>
              <w:t xml:space="preserve">as above</w:t>
            </w:r>
          </w:p>
        </w:tc>
      </w:tr>
      <w:tr>
        <w:tc>
          <w:tcPr>
            <w:tcW w:type="dxa" w:w="3010"/>
            <w:tcMar>
              <w:top w:type="dxa" w:w="60"/>
              <w:left w:type="dxa" w:w="100"/>
              <w:bottom w:type="dxa" w:w="60"/>
              <w:right w:type="dxa" w:w="100"/>
            </w:tcMar>
          </w:tcPr>
          <w:p>
            <w:pPr>
              <w:spacing w:after="0" w:before="0"/>
            </w:pPr>
            <w:r>
              <w:rPr>
                <w:sz w:val="18"/>
                <w:szCs w:val="18"/>
              </w:rPr>
              <w:t xml:space="preserve">SMS failure rate</w:t>
            </w:r>
          </w:p>
        </w:tc>
        <w:tc>
          <w:tcPr>
            <w:tcW w:type="dxa" w:w="3008"/>
            <w:tcMar>
              <w:top w:type="dxa" w:w="60"/>
              <w:left w:type="dxa" w:w="100"/>
              <w:bottom w:type="dxa" w:w="60"/>
              <w:right w:type="dxa" w:w="100"/>
            </w:tcMar>
          </w:tcPr>
          <w:p>
            <w:pPr>
              <w:spacing w:after="0" w:before="0"/>
            </w:pPr>
            <w:r>
              <w:rPr>
                <w:b/>
                <w:bCs/>
                <w:sz w:val="18"/>
                <w:szCs w:val="18"/>
              </w:rPr>
              <w:t xml:space="preserve">0.23%</w:t>
            </w:r>
          </w:p>
        </w:tc>
        <w:tc>
          <w:tcPr>
            <w:tcW w:type="dxa" w:w="3008"/>
            <w:tcMar>
              <w:top w:type="dxa" w:w="60"/>
              <w:left w:type="dxa" w:w="100"/>
              <w:bottom w:type="dxa" w:w="60"/>
              <w:right w:type="dxa" w:w="100"/>
            </w:tcMar>
          </w:tcPr>
          <w:p>
            <w:pPr>
              <w:spacing w:after="0" w:before="0"/>
            </w:pPr>
            <w:r>
              <w:rPr>
                <w:sz w:val="18"/>
                <w:szCs w:val="18"/>
              </w:rPr>
              <w:t xml:space="preserve">as above</w:t>
            </w:r>
          </w:p>
        </w:tc>
      </w:tr>
    </w:tbl>
    <w:p>
      <w:pPr>
        <w:spacing w:after="180"/>
      </w:pPr>
    </w:p>
    <w:p>
      <w:pPr>
        <w:spacing w:after="140" w:before="60" w:line="276"/>
      </w:pPr>
      <w:r>
        <w:rPr>
          <w:b/>
          <w:bCs/>
          <w:sz w:val="20"/>
          <w:szCs w:val="20"/>
        </w:rPr>
        <w:t xml:space="preserve">Contribution.</w:t>
      </w:r>
      <w:r>
        <w:rPr>
          <w:sz w:val="20"/>
          <w:szCs w:val="20"/>
        </w:rPr>
        <w:t xml:space="preserve"> Git history attributes </w:t>
      </w:r>
      <w:r>
        <w:rPr>
          <w:b/>
          <w:bCs/>
          <w:sz w:val="20"/>
          <w:szCs w:val="20"/>
        </w:rPr>
        <w:t xml:space="preserve">221 of 228</w:t>
      </w:r>
      <w:r>
        <w:rPr>
          <w:sz w:val="20"/>
          <w:szCs w:val="20"/>
        </w:rPr>
        <w:t xml:space="preserve"> backend commits and </w:t>
      </w:r>
      <w:r>
        <w:rPr>
          <w:b/>
          <w:bCs/>
          <w:sz w:val="20"/>
          <w:szCs w:val="20"/>
        </w:rPr>
        <w:t xml:space="preserve">77,448 of 77,455</w:t>
      </w:r>
      <w:r>
        <w:rPr>
          <w:sz w:val="20"/>
          <w:szCs w:val="20"/>
        </w:rPr>
        <w:t xml:space="preserve"> backend source lines added to one author identity (the subject). The backend is effectively single-author. The frontend was scaffolded in one week by Lovable's AI bot — but 231 of those 238 bot commits carry the subject as co-author, indicating he directed them — after which he authored all 149 subsequent commits and 78% of all source lines added.</w:t>
      </w:r>
    </w:p>
    <w:p>
      <w:pPr>
        <w:spacing w:after="140" w:before="60" w:line="276"/>
      </w:pPr>
      <w:r>
        <w:rPr>
          <w:b/>
          <w:bCs/>
          <w:sz w:val="20"/>
          <w:szCs w:val="20"/>
        </w:rPr>
        <w:t xml:space="preserve">Most technically significant aspects:</w:t>
      </w:r>
      <w:r>
        <w:rPr>
          <w:sz w:val="20"/>
          <w:szCs w:val="20"/>
        </w:rPr>
        <w:t xml:space="preserve"> a control-plane/execution-plane split with immutable per-message snapshots; queue-backed delivery via Azure Service Bus; a five-adapter provider abstraction proven in production; database-enforced idempotency that produced </w:t>
      </w:r>
      <w:r>
        <w:rPr>
          <w:b/>
          <w:bCs/>
          <w:sz w:val="20"/>
          <w:szCs w:val="20"/>
        </w:rPr>
        <w:t xml:space="preserve">zero duplicate schedule dispatches across 1,146 dispatches</w:t>
      </w:r>
      <w:r>
        <w:rPr>
          <w:sz w:val="20"/>
          <w:szCs w:val="20"/>
        </w:rPr>
        <w:t xml:space="preserve">; a near-real-time SQL polling loop that has executed ~149k runs at 99.83% success; and a deliberately backwards-compatible API contract that let 22 existing internal clients migrate onto the platform.</w:t>
      </w:r>
    </w:p>
    <w:p>
      <w:pPr>
        <w:spacing w:after="140" w:before="60" w:line="276"/>
      </w:pPr>
      <w:r>
        <w:rPr>
          <w:b/>
          <w:bCs/>
          <w:sz w:val="20"/>
          <w:szCs w:val="20"/>
        </w:rPr>
        <w:t xml:space="preserve">Clearest business impact:</w:t>
      </w:r>
      <w:r>
        <w:rPr>
          <w:sz w:val="20"/>
          <w:szCs w:val="20"/>
        </w:rPr>
        <w:t xml:space="preserve"> 99.4% of all execution runs were triggered automatically rather than manually — directly addressing the manual re-triggering that characterised the legacy estate — while human approval is still enforced before anything goes live. Every message is now recorded against the customer who received it and visible in one searchable place, which is the capability executives asked for and which neither legacy system provided.</w:t>
      </w:r>
    </w:p>
    <w:p>
      <w:pPr>
        <w:pStyle w:val="Heading1"/>
        <w:pBdr>
          <w:bottom w:val="single" w:color="BFBFBF" w:sz="6" w:space="6"/>
        </w:pBdr>
        <w:spacing w:after="160" w:before="360"/>
      </w:pPr>
      <w:r>
        <w:rPr>
          <w:b/>
          <w:bCs/>
          <w:color w:val="1F3864"/>
          <w:sz w:val="28"/>
          <w:szCs w:val="28"/>
        </w:rPr>
        <w:t xml:space="preserve">2. Project Overview</w:t>
      </w:r>
    </w:p>
    <w:p>
      <w:pPr>
        <w:spacing w:after="140" w:before="60" w:line="276"/>
      </w:pPr>
      <w:r>
        <w:rPr>
          <w:sz w:val="20"/>
          <w:szCs w:val="20"/>
        </w:rPr>
        <w:t xml:space="preserve">UCP centralises outbound customer communication for an insurance broker across three channels. Per the project's own scope document, it "replaces google scripts driven orchestration with stored campaign definitions, controlled audiences, approvals, queue-backed execution, audit trails, customer-level history, suppressions, and integration-specific controls." </w:t>
      </w:r>
      <w:r>
        <w:rPr>
          <w:i/>
          <w:iCs/>
          <w:sz w:val="20"/>
          <w:szCs w:val="20"/>
        </w:rPr>
        <w:t xml:space="preserve">(VERIFIED — `ucp-documentation/docs/01-product-and-architecture/product-scope.md`)</w:t>
      </w:r>
    </w:p>
    <w:p>
      <w:pPr>
        <w:spacing w:after="140" w:before="60" w:line="276"/>
      </w:pPr>
      <w:r>
        <w:rPr>
          <w:b/>
          <w:bCs/>
          <w:sz w:val="20"/>
          <w:szCs w:val="20"/>
        </w:rPr>
        <w:t xml:space="preserve">Workspaces: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DF0F7" w:color="auto" w:val="clear"/>
            <w:tcMar>
              <w:top w:type="dxa" w:w="60"/>
              <w:left w:type="dxa" w:w="100"/>
              <w:bottom w:type="dxa" w:w="60"/>
              <w:right w:type="dxa" w:w="100"/>
            </w:tcMar>
          </w:tcPr>
          <w:p>
            <w:pPr>
              <w:spacing w:after="0" w:before="0"/>
            </w:pPr>
            <w:r>
              <w:rPr>
                <w:b/>
                <w:bCs/>
                <w:sz w:val="18"/>
                <w:szCs w:val="18"/>
              </w:rPr>
              <w:t xml:space="preserve">Workspace</w:t>
            </w:r>
          </w:p>
        </w:tc>
        <w:tc>
          <w:tcPr>
            <w:tcW w:type="dxa" w:w="3008"/>
            <w:shd w:fill="EDF0F7" w:color="auto" w:val="clear"/>
            <w:tcMar>
              <w:top w:type="dxa" w:w="60"/>
              <w:left w:type="dxa" w:w="100"/>
              <w:bottom w:type="dxa" w:w="60"/>
              <w:right w:type="dxa" w:w="100"/>
            </w:tcMar>
          </w:tcPr>
          <w:p>
            <w:pPr>
              <w:spacing w:after="0" w:before="0"/>
            </w:pPr>
            <w:r>
              <w:rPr>
                <w:b/>
                <w:bCs/>
                <w:sz w:val="18"/>
                <w:szCs w:val="18"/>
              </w:rPr>
              <w:t xml:space="preserve">Role</w:t>
            </w:r>
          </w:p>
        </w:tc>
        <w:tc>
          <w:tcPr>
            <w:tcW w:type="dxa" w:w="3008"/>
            <w:shd w:fill="EDF0F7" w:color="auto" w:val="clear"/>
            <w:tcMar>
              <w:top w:type="dxa" w:w="60"/>
              <w:left w:type="dxa" w:w="100"/>
              <w:bottom w:type="dxa" w:w="60"/>
              <w:right w:type="dxa" w:w="100"/>
            </w:tcMar>
          </w:tcPr>
          <w:p>
            <w:pPr>
              <w:spacing w:after="0" w:before="0"/>
            </w:pPr>
            <w:r>
              <w:rPr>
                <w:b/>
                <w:bCs/>
                <w:sz w:val="18"/>
                <w:szCs w:val="18"/>
              </w:rPr>
              <w:t xml:space="preserve">Size</w:t>
            </w:r>
          </w:p>
        </w:tc>
      </w:tr>
      <w:tr>
        <w:tc>
          <w:tcPr>
            <w:tcW w:type="dxa" w:w="3010"/>
            <w:tcMar>
              <w:top w:type="dxa" w:w="60"/>
              <w:left w:type="dxa" w:w="100"/>
              <w:bottom w:type="dxa" w:w="60"/>
              <w:right w:type="dxa" w:w="100"/>
            </w:tcMar>
          </w:tcPr>
          <w:p>
            <w:pPr>
              <w:spacing w:after="0" w:before="0"/>
            </w:pPr>
            <w:r>
              <w:rPr>
                <w:rFonts w:ascii="Consolas" w:cs="Consolas" w:eastAsia="Consolas" w:hAnsi="Consolas"/>
                <w:sz w:val="18"/>
                <w:szCs w:val="18"/>
              </w:rPr>
              <w:t xml:space="preserve">ucp-backend</w:t>
            </w:r>
          </w:p>
        </w:tc>
        <w:tc>
          <w:tcPr>
            <w:tcW w:type="dxa" w:w="3008"/>
            <w:tcMar>
              <w:top w:type="dxa" w:w="60"/>
              <w:left w:type="dxa" w:w="100"/>
              <w:bottom w:type="dxa" w:w="60"/>
              <w:right w:type="dxa" w:w="100"/>
            </w:tcMar>
          </w:tcPr>
          <w:p>
            <w:pPr>
              <w:spacing w:after="0" w:before="0"/>
            </w:pPr>
            <w:r>
              <w:rPr>
                <w:sz w:val="18"/>
                <w:szCs w:val="18"/>
              </w:rPr>
              <w:t xml:space="preserve">NestJS API and all domain logic</w:t>
            </w:r>
          </w:p>
        </w:tc>
        <w:tc>
          <w:tcPr>
            <w:tcW w:type="dxa" w:w="3008"/>
            <w:tcMar>
              <w:top w:type="dxa" w:w="60"/>
              <w:left w:type="dxa" w:w="100"/>
              <w:bottom w:type="dxa" w:w="60"/>
              <w:right w:type="dxa" w:w="100"/>
            </w:tcMar>
          </w:tcPr>
          <w:p>
            <w:pPr>
              <w:spacing w:after="0" w:before="0"/>
            </w:pPr>
            <w:r>
              <w:rPr>
                <w:sz w:val="18"/>
                <w:szCs w:val="18"/>
              </w:rPr>
              <w:t xml:space="preserve">354 TS files, 62,750 lines, 19 modules</w:t>
            </w:r>
          </w:p>
        </w:tc>
      </w:tr>
      <w:tr>
        <w:tc>
          <w:tcPr>
            <w:tcW w:type="dxa" w:w="3010"/>
            <w:tcMar>
              <w:top w:type="dxa" w:w="60"/>
              <w:left w:type="dxa" w:w="100"/>
              <w:bottom w:type="dxa" w:w="60"/>
              <w:right w:type="dxa" w:w="100"/>
            </w:tcMar>
          </w:tcPr>
          <w:p>
            <w:pPr>
              <w:spacing w:after="0" w:before="0"/>
            </w:pPr>
            <w:r>
              <w:rPr>
                <w:rFonts w:ascii="Consolas" w:cs="Consolas" w:eastAsia="Consolas" w:hAnsi="Consolas"/>
                <w:sz w:val="18"/>
                <w:szCs w:val="18"/>
              </w:rPr>
              <w:t xml:space="preserve">ucp-frontend-lovable</w:t>
            </w:r>
          </w:p>
        </w:tc>
        <w:tc>
          <w:tcPr>
            <w:tcW w:type="dxa" w:w="3008"/>
            <w:tcMar>
              <w:top w:type="dxa" w:w="60"/>
              <w:left w:type="dxa" w:w="100"/>
              <w:bottom w:type="dxa" w:w="60"/>
              <w:right w:type="dxa" w:w="100"/>
            </w:tcMar>
          </w:tcPr>
          <w:p>
            <w:pPr>
              <w:spacing w:after="0" w:before="0"/>
            </w:pPr>
            <w:r>
              <w:rPr>
                <w:sz w:val="18"/>
                <w:szCs w:val="18"/>
              </w:rPr>
              <w:t xml:space="preserve">Active React/Vite operations UI</w:t>
            </w:r>
          </w:p>
        </w:tc>
        <w:tc>
          <w:tcPr>
            <w:tcW w:type="dxa" w:w="3008"/>
            <w:tcMar>
              <w:top w:type="dxa" w:w="60"/>
              <w:left w:type="dxa" w:w="100"/>
              <w:bottom w:type="dxa" w:w="60"/>
              <w:right w:type="dxa" w:w="100"/>
            </w:tcMar>
          </w:tcPr>
          <w:p>
            <w:pPr>
              <w:spacing w:after="0" w:before="0"/>
            </w:pPr>
            <w:r>
              <w:rPr>
                <w:sz w:val="18"/>
                <w:szCs w:val="18"/>
              </w:rPr>
              <w:t xml:space="preserve">190 files, 39,289 lines</w:t>
            </w:r>
          </w:p>
        </w:tc>
      </w:tr>
      <w:tr>
        <w:tc>
          <w:tcPr>
            <w:tcW w:type="dxa" w:w="3010"/>
            <w:tcMar>
              <w:top w:type="dxa" w:w="60"/>
              <w:left w:type="dxa" w:w="100"/>
              <w:bottom w:type="dxa" w:w="60"/>
              <w:right w:type="dxa" w:w="100"/>
            </w:tcMar>
          </w:tcPr>
          <w:p>
            <w:pPr>
              <w:spacing w:after="0" w:before="0"/>
            </w:pPr>
            <w:r>
              <w:rPr>
                <w:rFonts w:ascii="Consolas" w:cs="Consolas" w:eastAsia="Consolas" w:hAnsi="Consolas"/>
                <w:sz w:val="18"/>
                <w:szCs w:val="18"/>
              </w:rPr>
              <w:t xml:space="preserve">ucp-documentation</w:t>
            </w:r>
          </w:p>
        </w:tc>
        <w:tc>
          <w:tcPr>
            <w:tcW w:type="dxa" w:w="3008"/>
            <w:tcMar>
              <w:top w:type="dxa" w:w="60"/>
              <w:left w:type="dxa" w:w="100"/>
              <w:bottom w:type="dxa" w:w="60"/>
              <w:right w:type="dxa" w:w="100"/>
            </w:tcMar>
          </w:tcPr>
          <w:p>
            <w:pPr>
              <w:spacing w:after="0" w:before="0"/>
            </w:pPr>
            <w:r>
              <w:rPr>
                <w:sz w:val="18"/>
                <w:szCs w:val="18"/>
              </w:rPr>
              <w:t xml:space="preserve">MkDocs reference and handover site</w:t>
            </w:r>
          </w:p>
        </w:tc>
        <w:tc>
          <w:tcPr>
            <w:tcW w:type="dxa" w:w="3008"/>
            <w:tcMar>
              <w:top w:type="dxa" w:w="60"/>
              <w:left w:type="dxa" w:w="100"/>
              <w:bottom w:type="dxa" w:w="60"/>
              <w:right w:type="dxa" w:w="100"/>
            </w:tcMar>
          </w:tcPr>
          <w:p>
            <w:pPr>
              <w:spacing w:after="0" w:before="0"/>
            </w:pPr>
            <w:r>
              <w:rPr>
                <w:sz w:val="18"/>
                <w:szCs w:val="18"/>
              </w:rPr>
              <w:t xml:space="preserve">17 commits</w:t>
            </w:r>
          </w:p>
        </w:tc>
      </w:tr>
      <w:tr>
        <w:tc>
          <w:tcPr>
            <w:tcW w:type="dxa" w:w="3010"/>
            <w:tcMar>
              <w:top w:type="dxa" w:w="60"/>
              <w:left w:type="dxa" w:w="100"/>
              <w:bottom w:type="dxa" w:w="60"/>
              <w:right w:type="dxa" w:w="100"/>
            </w:tcMar>
          </w:tcPr>
          <w:p>
            <w:pPr>
              <w:spacing w:after="0" w:before="0"/>
            </w:pPr>
            <w:r>
              <w:rPr>
                <w:rFonts w:ascii="Consolas" w:cs="Consolas" w:eastAsia="Consolas" w:hAnsi="Consolas"/>
                <w:sz w:val="18"/>
                <w:szCs w:val="18"/>
              </w:rPr>
              <w:t xml:space="preserve">ucp-frontend</w:t>
            </w:r>
          </w:p>
        </w:tc>
        <w:tc>
          <w:tcPr>
            <w:tcW w:type="dxa" w:w="3008"/>
            <w:tcMar>
              <w:top w:type="dxa" w:w="60"/>
              <w:left w:type="dxa" w:w="100"/>
              <w:bottom w:type="dxa" w:w="60"/>
              <w:right w:type="dxa" w:w="100"/>
            </w:tcMar>
          </w:tcPr>
          <w:p>
            <w:pPr>
              <w:spacing w:after="0" w:before="0"/>
            </w:pPr>
            <w:r>
              <w:rPr>
                <w:sz w:val="18"/>
                <w:szCs w:val="18"/>
              </w:rPr>
              <w:t xml:space="preserve">Superseded first UI, kept for reference</w:t>
            </w:r>
          </w:p>
        </w:tc>
        <w:tc>
          <w:tcPr>
            <w:tcW w:type="dxa" w:w="3008"/>
            <w:tcMar>
              <w:top w:type="dxa" w:w="60"/>
              <w:left w:type="dxa" w:w="100"/>
              <w:bottom w:type="dxa" w:w="60"/>
              <w:right w:type="dxa" w:w="100"/>
            </w:tcMar>
          </w:tcPr>
          <w:p>
            <w:pPr>
              <w:spacing w:after="0" w:before="0"/>
            </w:pPr>
            <w:r>
              <w:rPr>
                <w:sz w:val="18"/>
                <w:szCs w:val="18"/>
              </w:rPr>
              <w:t xml:space="preserve">12 commits, last Apr 2026</w:t>
            </w:r>
          </w:p>
        </w:tc>
      </w:tr>
      <w:tr>
        <w:tc>
          <w:tcPr>
            <w:tcW w:type="dxa" w:w="3010"/>
            <w:tcMar>
              <w:top w:type="dxa" w:w="60"/>
              <w:left w:type="dxa" w:w="100"/>
              <w:bottom w:type="dxa" w:w="60"/>
              <w:right w:type="dxa" w:w="100"/>
            </w:tcMar>
          </w:tcPr>
          <w:p>
            <w:pPr>
              <w:spacing w:after="0" w:before="0"/>
            </w:pPr>
            <w:r>
              <w:rPr>
                <w:rFonts w:ascii="Consolas" w:cs="Consolas" w:eastAsia="Consolas" w:hAnsi="Consolas"/>
                <w:sz w:val="18"/>
                <w:szCs w:val="18"/>
              </w:rPr>
              <w:t xml:space="preserve">old-google-scripts</w:t>
            </w:r>
          </w:p>
        </w:tc>
        <w:tc>
          <w:tcPr>
            <w:tcW w:type="dxa" w:w="3008"/>
            <w:tcMar>
              <w:top w:type="dxa" w:w="60"/>
              <w:left w:type="dxa" w:w="100"/>
              <w:bottom w:type="dxa" w:w="60"/>
              <w:right w:type="dxa" w:w="100"/>
            </w:tcMar>
          </w:tcPr>
          <w:p>
            <w:pPr>
              <w:spacing w:after="0" w:before="0"/>
            </w:pPr>
            <w:r>
              <w:rPr>
                <w:b/>
                <w:bCs/>
                <w:sz w:val="18"/>
                <w:szCs w:val="18"/>
              </w:rPr>
              <w:t xml:space="preserve">Legacy system replaced</w:t>
            </w:r>
            <w:r>
              <w:rPr>
                <w:sz w:val="18"/>
                <w:szCs w:val="18"/>
              </w:rPr>
              <w:t xml:space="preserve"> — Apps Script process orchestration</w:t>
            </w:r>
          </w:p>
        </w:tc>
        <w:tc>
          <w:tcPr>
            <w:tcW w:type="dxa" w:w="3008"/>
            <w:tcMar>
              <w:top w:type="dxa" w:w="60"/>
              <w:left w:type="dxa" w:w="100"/>
              <w:bottom w:type="dxa" w:w="60"/>
              <w:right w:type="dxa" w:w="100"/>
            </w:tcMar>
          </w:tcPr>
          <w:p>
            <w:pPr>
              <w:spacing w:after="0" w:before="0"/>
            </w:pPr>
            <w:r>
              <w:rPr>
                <w:sz w:val="18"/>
                <w:szCs w:val="18"/>
              </w:rPr>
              <w:t xml:space="preserve">2,691 lines of </w:t>
            </w:r>
            <w:r>
              <w:rPr>
                <w:rFonts w:ascii="Consolas" w:cs="Consolas" w:eastAsia="Consolas" w:hAnsi="Consolas"/>
                <w:sz w:val="18"/>
                <w:szCs w:val="18"/>
              </w:rPr>
              <w:t xml:space="preserve">.gs</w:t>
            </w:r>
          </w:p>
        </w:tc>
      </w:tr>
      <w:tr>
        <w:tc>
          <w:tcPr>
            <w:tcW w:type="dxa" w:w="3010"/>
            <w:tcMar>
              <w:top w:type="dxa" w:w="60"/>
              <w:left w:type="dxa" w:w="100"/>
              <w:bottom w:type="dxa" w:w="60"/>
              <w:right w:type="dxa" w:w="100"/>
            </w:tcMar>
          </w:tcPr>
          <w:p>
            <w:pPr>
              <w:spacing w:after="0" w:before="0"/>
            </w:pPr>
            <w:r>
              <w:rPr>
                <w:rFonts w:ascii="Consolas" w:cs="Consolas" w:eastAsia="Consolas" w:hAnsi="Consolas"/>
                <w:sz w:val="18"/>
                <w:szCs w:val="18"/>
              </w:rPr>
              <w:t xml:space="preserve">old-iros-mail</w:t>
            </w:r>
          </w:p>
        </w:tc>
        <w:tc>
          <w:tcPr>
            <w:tcW w:type="dxa" w:w="3008"/>
            <w:tcMar>
              <w:top w:type="dxa" w:w="60"/>
              <w:left w:type="dxa" w:w="100"/>
              <w:bottom w:type="dxa" w:w="60"/>
              <w:right w:type="dxa" w:w="100"/>
            </w:tcMar>
          </w:tcPr>
          <w:p>
            <w:pPr>
              <w:spacing w:after="0" w:before="0"/>
            </w:pPr>
            <w:r>
              <w:rPr>
                <w:b/>
                <w:bCs/>
                <w:sz w:val="18"/>
                <w:szCs w:val="18"/>
              </w:rPr>
              <w:t xml:space="preserve">Legacy system replaced</w:t>
            </w:r>
            <w:r>
              <w:rPr>
                <w:sz w:val="18"/>
                <w:szCs w:val="18"/>
              </w:rPr>
              <w:t xml:space="preserve"> — .NET 8 Azure Functions mail microservice</w:t>
            </w:r>
          </w:p>
        </w:tc>
        <w:tc>
          <w:tcPr>
            <w:tcW w:type="dxa" w:w="3008"/>
            <w:tcMar>
              <w:top w:type="dxa" w:w="60"/>
              <w:left w:type="dxa" w:w="100"/>
              <w:bottom w:type="dxa" w:w="60"/>
              <w:right w:type="dxa" w:w="100"/>
            </w:tcMar>
          </w:tcPr>
          <w:p>
            <w:pPr>
              <w:spacing w:after="0" w:before="0"/>
            </w:pPr>
            <w:r>
              <w:rPr>
                <w:sz w:val="18"/>
                <w:szCs w:val="18"/>
              </w:rPr>
              <w:t xml:space="preserve">EJS/MJML rendering, MongoDB email records, SMTP</w:t>
            </w:r>
          </w:p>
        </w:tc>
      </w:tr>
    </w:tbl>
    <w:p>
      <w:pPr>
        <w:spacing w:after="180"/>
      </w:pPr>
    </w:p>
    <w:p>
      <w:pPr>
        <w:spacing w:after="140" w:before="60" w:line="276"/>
      </w:pPr>
      <w:r>
        <w:rPr>
          <w:b/>
          <w:bCs/>
          <w:sz w:val="20"/>
          <w:szCs w:val="20"/>
        </w:rPr>
        <w:t xml:space="preserve">Users:</w:t>
      </w:r>
      <w:r>
        <w:rPr>
          <w:sz w:val="20"/>
          <w:szCs w:val="20"/>
        </w:rPr>
        <w:t xml:space="preserve"> 17 active internal accounts — 7 Admin, 6 Manager, 4 StandardUser — all of whom have signed in (352 sessions, 29 Apr – 8 Oct 2026). This is an internal operations tool, not a customer-facing product. </w:t>
      </w:r>
      <w:r>
        <w:rPr>
          <w:i/>
          <w:iCs/>
          <w:sz w:val="20"/>
          <w:szCs w:val="20"/>
        </w:rPr>
        <w:t xml:space="preserve">(VERIFIED — production `User`, `UserSession`)</w:t>
      </w:r>
    </w:p>
    <w:p>
      <w:pPr>
        <w:pStyle w:val="Heading1"/>
        <w:pBdr>
          <w:bottom w:val="single" w:color="BFBFBF" w:sz="6" w:space="6"/>
        </w:pBdr>
        <w:spacing w:after="160" w:before="360"/>
      </w:pPr>
      <w:r>
        <w:rPr>
          <w:b/>
          <w:bCs/>
          <w:color w:val="1F3864"/>
          <w:sz w:val="28"/>
          <w:szCs w:val="28"/>
        </w:rPr>
        <w:t xml:space="preserve">3. Business Problem and Context</w:t>
      </w:r>
    </w:p>
    <w:p>
      <w:pPr>
        <w:pStyle w:val="Heading2"/>
        <w:spacing w:after="120" w:before="260"/>
      </w:pPr>
      <w:r>
        <w:rPr>
          <w:b/>
          <w:bCs/>
          <w:color w:val="1F3864"/>
          <w:sz w:val="23"/>
          <w:szCs w:val="23"/>
        </w:rPr>
        <w:t xml:space="preserve">3.1 What existed before</w:t>
      </w:r>
    </w:p>
    <w:p>
      <w:pPr>
        <w:spacing w:after="140" w:before="60" w:line="276"/>
      </w:pPr>
      <w:r>
        <w:rPr>
          <w:sz w:val="20"/>
          <w:szCs w:val="20"/>
        </w:rPr>
        <w:t xml:space="preserve">Two systems, in a chain:</w:t>
      </w:r>
    </w:p>
    <w:p>
      <w:pPr>
        <w:spacing w:after="140" w:before="60" w:line="276"/>
      </w:pPr>
      <w:r>
        <w:rPr>
          <w:sz w:val="20"/>
          <w:szCs w:val="20"/>
        </w:rPr>
        <w:t xml:space="preserve">1. </w:t>
      </w:r>
      <w:r>
        <w:rPr>
          <w:b/>
          <w:bCs/>
          <w:sz w:val="20"/>
          <w:szCs w:val="20"/>
        </w:rPr>
        <w:t xml:space="preserve">Google Apps Scripts</w:t>
      </w:r>
      <w:r>
        <w:rPr>
          <w:sz w:val="20"/>
          <w:szCs w:val="20"/>
        </w:rPr>
        <w:t xml:space="preserve"> (</w:t>
      </w:r>
      <w:r>
        <w:rPr>
          <w:rFonts w:ascii="Consolas" w:cs="Consolas" w:eastAsia="Consolas" w:hAnsi="Consolas"/>
          <w:sz w:val="18"/>
          <w:szCs w:val="18"/>
        </w:rPr>
        <w:t xml:space="preserve">iros-process-one</w:t>
      </w:r>
      <w:r>
        <w:rPr>
          <w:sz w:val="20"/>
          <w:szCs w:val="20"/>
        </w:rPr>
        <w:t xml:space="preserve">, </w:t>
      </w:r>
      <w:r>
        <w:rPr>
          <w:rFonts w:ascii="Consolas" w:cs="Consolas" w:eastAsia="Consolas" w:hAnsi="Consolas"/>
          <w:sz w:val="18"/>
          <w:szCs w:val="18"/>
        </w:rPr>
        <w:t xml:space="preserve">iros-process-two</w:t>
      </w:r>
      <w:r>
        <w:rPr>
          <w:sz w:val="20"/>
          <w:szCs w:val="20"/>
        </w:rPr>
        <w:t xml:space="preserve">) orchestrated the business processes — renewal invites and acknowledgements, cancellation chases and acknowledgements, outstanding-payment chases, RTA7 notices, ad-hoc document requests. Time-driven </w:t>
      </w:r>
      <w:r>
        <w:rPr>
          <w:rFonts w:ascii="Consolas" w:cs="Consolas" w:eastAsia="Consolas" w:hAnsi="Consolas"/>
          <w:sz w:val="18"/>
          <w:szCs w:val="18"/>
        </w:rPr>
        <w:t xml:space="preserve">runEveryMinute</w:t>
      </w:r>
      <w:r>
        <w:rPr>
          <w:sz w:val="20"/>
          <w:szCs w:val="20"/>
        </w:rPr>
        <w:t xml:space="preserve"> / </w:t>
      </w:r>
      <w:r>
        <w:rPr>
          <w:rFonts w:ascii="Consolas" w:cs="Consolas" w:eastAsia="Consolas" w:hAnsi="Consolas"/>
          <w:sz w:val="18"/>
          <w:szCs w:val="18"/>
        </w:rPr>
        <w:t xml:space="preserve">runEveryHour</w:t>
      </w:r>
      <w:r>
        <w:rPr>
          <w:sz w:val="20"/>
          <w:szCs w:val="20"/>
        </w:rPr>
        <w:t xml:space="preserve"> / </w:t>
      </w:r>
      <w:r>
        <w:rPr>
          <w:rFonts w:ascii="Consolas" w:cs="Consolas" w:eastAsia="Consolas" w:hAnsi="Consolas"/>
          <w:sz w:val="18"/>
          <w:szCs w:val="18"/>
        </w:rPr>
        <w:t xml:space="preserve">runEveryDay</w:t>
      </w:r>
      <w:r>
        <w:rPr>
          <w:sz w:val="20"/>
          <w:szCs w:val="20"/>
        </w:rPr>
        <w:t xml:space="preserve"> entry points, with the sending window hardcoded in a conditional.</w:t>
      </w:r>
    </w:p>
    <w:p>
      <w:pPr>
        <w:spacing w:after="140" w:before="60" w:line="276"/>
      </w:pPr>
      <w:r>
        <w:rPr>
          <w:sz w:val="20"/>
          <w:szCs w:val="20"/>
        </w:rPr>
        <w:t xml:space="preserve">2. </w:t>
      </w:r>
      <w:r>
        <w:rPr>
          <w:b/>
          <w:bCs/>
          <w:sz w:val="20"/>
          <w:szCs w:val="20"/>
        </w:rPr>
        <w:t xml:space="preserve">`iros-mail`</w:t>
      </w:r>
      <w:r>
        <w:rPr>
          <w:sz w:val="20"/>
          <w:szCs w:val="20"/>
        </w:rPr>
        <w:t xml:space="preserve">, a .NET 8 isolated Azure Functions microservice, rendered templates (EJS/MJML), sent over SMTP, stored email records in MongoDB, and ran scheduled-send and failed-email-reschedule workers.</w:t>
      </w:r>
    </w:p>
    <w:p>
      <w:pPr>
        <w:spacing w:after="140" w:before="60" w:line="276"/>
      </w:pPr>
      <w:r>
        <w:rPr>
          <w:i/>
          <w:iCs/>
          <w:sz w:val="20"/>
          <w:szCs w:val="20"/>
        </w:rPr>
        <w:t xml:space="preserve">(VERIFIED — legacy source, `README.md`, `mail-service.csproj`, `code.gs`)</w:t>
      </w:r>
    </w:p>
    <w:p>
      <w:pPr>
        <w:pStyle w:val="Heading2"/>
        <w:spacing w:after="120" w:before="260"/>
      </w:pPr>
      <w:r>
        <w:rPr>
          <w:b/>
          <w:bCs/>
          <w:color w:val="1F3864"/>
          <w:sz w:val="23"/>
          <w:szCs w:val="23"/>
        </w:rPr>
        <w:t xml:space="preserve">3.2 Why it was a problem</w:t>
      </w:r>
    </w:p>
    <w:p>
      <w:pPr>
        <w:spacing w:after="140" w:before="60" w:line="276"/>
      </w:pPr>
      <w:r>
        <w:rPr>
          <w:sz w:val="20"/>
          <w:szCs w:val="20"/>
        </w:rPr>
        <w:t xml:space="preserve">The subject's account is that communications were scattered with no central visibility, nobody could see which customers had been contacted or whether messages arrived, processes broke and messages were silently lost, and staff re-triggered emails manually. Executive stakeholders — CEO and CTO level — asked for consolidation into one monitored system. </w:t>
      </w:r>
      <w:r>
        <w:rPr>
          <w:i/>
          <w:iCs/>
          <w:sz w:val="20"/>
          <w:szCs w:val="20"/>
        </w:rPr>
        <w:t xml:space="preserve">(TESTIMONY)</w:t>
      </w:r>
    </w:p>
    <w:p>
      <w:pPr>
        <w:spacing w:after="140" w:before="60" w:line="276"/>
      </w:pPr>
      <w:r>
        <w:rPr>
          <w:b/>
          <w:bCs/>
          <w:sz w:val="20"/>
          <w:szCs w:val="20"/>
        </w:rPr>
        <w:t xml:space="preserve">Three parts of that account are directly corroborated in the legacy code:</w:t>
      </w:r>
    </w:p>
    <w:p>
      <w:pPr>
        <w:spacing w:after="140" w:before="60" w:line="276"/>
      </w:pPr>
      <w:r>
        <w:rPr>
          <w:b/>
          <w:bCs/>
          <w:sz w:val="20"/>
          <w:szCs w:val="20"/>
        </w:rPr>
        <w:t xml:space="preserve">Failures notified nobody.</w:t>
      </w:r>
      <w:r>
        <w:rPr>
          <w:sz w:val="20"/>
          <w:szCs w:val="20"/>
        </w:rPr>
        <w:t xml:space="preserve"> The shared failure handler is an unimplemented stub:</w:t>
      </w:r>
    </w:p>
    <w:p>
      <w:pPr>
        <w:shd w:fill="F7F8FA" w:color="auto" w:val="clear"/>
        <w:spacing w:after="0" w:before="120" w:line="200"/>
      </w:pPr>
      <w:r>
        <w:rPr>
          <w:rFonts w:ascii="Menlo" w:cs="Menlo" w:eastAsia="Menlo" w:hAnsi="Menlo"/>
          <w:sz w:val="13"/>
          <w:szCs w:val="13"/>
        </w:rPr>
        <w:t xml:space="preserve">function notifyExecutionFailed(fn, error) {</w:t>
      </w:r>
    </w:p>
    <w:p>
      <w:pPr>
        <w:shd w:fill="F7F8FA" w:color="auto" w:val="clear"/>
        <w:spacing w:after="0" w:before="0" w:line="200"/>
      </w:pPr>
      <w:r>
        <w:rPr>
          <w:rFonts w:ascii="Menlo" w:cs="Menlo" w:eastAsia="Menlo" w:hAnsi="Menlo"/>
          <w:sz w:val="13"/>
          <w:szCs w:val="13"/>
        </w:rPr>
        <w:t xml:space="preserve">  //todo send email</w:t>
      </w:r>
    </w:p>
    <w:p>
      <w:pPr>
        <w:shd w:fill="F7F8FA" w:color="auto" w:val="clear"/>
        <w:spacing w:after="0" w:before="0" w:line="200"/>
      </w:pPr>
      <w:r>
        <w:rPr>
          <w:rFonts w:ascii="Menlo" w:cs="Menlo" w:eastAsia="Menlo" w:hAnsi="Menlo"/>
          <w:sz w:val="13"/>
          <w:szCs w:val="13"/>
        </w:rPr>
        <w:t xml:space="preserve">  console.error("Function execution failed", fn, error);</w:t>
      </w:r>
    </w:p>
    <w:p>
      <w:pPr>
        <w:shd w:fill="F7F8FA" w:color="auto" w:val="clear"/>
        <w:spacing w:after="0" w:before="0" w:line="200"/>
      </w:pPr>
      <w:r>
        <w:rPr>
          <w:rFonts w:ascii="Menlo" w:cs="Menlo" w:eastAsia="Menlo" w:hAnsi="Menlo"/>
          <w:sz w:val="13"/>
          <w:szCs w:val="13"/>
        </w:rPr>
        <w:t xml:space="preserve">}</w:t>
      </w:r>
    </w:p>
    <w:p>
      <w:pPr>
        <w:spacing w:after="160"/>
      </w:pPr>
    </w:p>
    <w:p>
      <w:pPr>
        <w:spacing w:after="140" w:before="60" w:line="276"/>
      </w:pPr>
      <w:r>
        <w:rPr>
          <w:sz w:val="20"/>
          <w:szCs w:val="20"/>
        </w:rPr>
        <w:t xml:space="preserve">and the batch runner catches per-function errors and continues:</w:t>
      </w:r>
    </w:p>
    <w:p>
      <w:pPr>
        <w:shd w:fill="F7F8FA" w:color="auto" w:val="clear"/>
        <w:spacing w:after="0" w:before="120" w:line="200"/>
      </w:pPr>
      <w:r>
        <w:rPr>
          <w:rFonts w:ascii="Menlo" w:cs="Menlo" w:eastAsia="Menlo" w:hAnsi="Menlo"/>
          <w:sz w:val="13"/>
          <w:szCs w:val="13"/>
        </w:rPr>
        <w:t xml:space="preserve">runAll(a) { a.forEach(f =&gt; { try { runAsync(f); } catch (e) { console.error(e); } }); }</w:t>
      </w:r>
    </w:p>
    <w:p>
      <w:pPr>
        <w:spacing w:after="160"/>
      </w:pPr>
    </w:p>
    <w:p>
      <w:pPr>
        <w:spacing w:after="140" w:before="60" w:line="276"/>
      </w:pPr>
      <w:r>
        <w:rPr>
          <w:sz w:val="20"/>
          <w:szCs w:val="20"/>
        </w:rPr>
        <w:t xml:space="preserve">A failed communication process therefore produced a console line in Apps Script and nothing else — no alert, no retry, no persisted failure record. This is a precise mechanism for "communication would be lost in between" and for manual re-triggering: a silent failure is only discoverable by someone noticing a customer was not contacted. </w:t>
      </w:r>
      <w:r>
        <w:rPr>
          <w:i/>
          <w:iCs/>
          <w:sz w:val="20"/>
          <w:szCs w:val="20"/>
        </w:rPr>
        <w:t xml:space="preserve">(VERIFIED)</w:t>
      </w:r>
    </w:p>
    <w:p>
      <w:pPr>
        <w:spacing w:after="140" w:before="60" w:line="276"/>
      </w:pPr>
      <w:r>
        <w:rPr>
          <w:b/>
          <w:bCs/>
          <w:sz w:val="20"/>
          <w:szCs w:val="20"/>
        </w:rPr>
        <w:t xml:space="preserve">There was no record of what was sent to whom.</w:t>
      </w:r>
      <w:r>
        <w:rPr>
          <w:sz w:val="20"/>
          <w:szCs w:val="20"/>
        </w:rPr>
        <w:t xml:space="preserve"> The scripts write to ten per-process marker tables (</w:t>
      </w:r>
      <w:r>
        <w:rPr>
          <w:rFonts w:ascii="Consolas" w:cs="Consolas" w:eastAsia="Consolas" w:hAnsi="Consolas"/>
          <w:sz w:val="18"/>
          <w:szCs w:val="18"/>
        </w:rPr>
        <w:t xml:space="preserve">wp_os_payments</w:t>
      </w:r>
      <w:r>
        <w:rPr>
          <w:sz w:val="20"/>
          <w:szCs w:val="20"/>
        </w:rPr>
        <w:t xml:space="preserve">, </w:t>
      </w:r>
      <w:r>
        <w:rPr>
          <w:rFonts w:ascii="Consolas" w:cs="Consolas" w:eastAsia="Consolas" w:hAnsi="Consolas"/>
          <w:sz w:val="18"/>
          <w:szCs w:val="18"/>
        </w:rPr>
        <w:t xml:space="preserve">wp_canc_chase</w:t>
      </w:r>
      <w:r>
        <w:rPr>
          <w:sz w:val="20"/>
          <w:szCs w:val="20"/>
        </w:rPr>
        <w:t xml:space="preserve">, </w:t>
      </w:r>
      <w:r>
        <w:rPr>
          <w:rFonts w:ascii="Consolas" w:cs="Consolas" w:eastAsia="Consolas" w:hAnsi="Consolas"/>
          <w:sz w:val="18"/>
          <w:szCs w:val="18"/>
        </w:rPr>
        <w:t xml:space="preserve">wp_renw_invites</w:t>
      </w:r>
      <w:r>
        <w:rPr>
          <w:sz w:val="20"/>
          <w:szCs w:val="20"/>
        </w:rPr>
        <w:t xml:space="preserve">, …) capturing only that a source row was picked up — </w:t>
      </w:r>
      <w:r>
        <w:rPr>
          <w:rFonts w:ascii="Consolas" w:cs="Consolas" w:eastAsia="Consolas" w:hAnsi="Consolas"/>
          <w:sz w:val="18"/>
          <w:szCs w:val="18"/>
        </w:rPr>
        <w:t xml:space="preserve">created</w:t>
      </w:r>
      <w:r>
        <w:rPr>
          <w:sz w:val="20"/>
          <w:szCs w:val="20"/>
        </w:rPr>
        <w:t xml:space="preserve">, </w:t>
      </w:r>
      <w:r>
        <w:rPr>
          <w:rFonts w:ascii="Consolas" w:cs="Consolas" w:eastAsia="Consolas" w:hAnsi="Consolas"/>
          <w:sz w:val="18"/>
          <w:szCs w:val="18"/>
        </w:rPr>
        <w:t xml:space="preserve">ref</w:t>
      </w:r>
      <w:r>
        <w:rPr>
          <w:sz w:val="20"/>
          <w:szCs w:val="20"/>
        </w:rPr>
        <w:t xml:space="preserve">, </w:t>
      </w:r>
      <w:r>
        <w:rPr>
          <w:rFonts w:ascii="Consolas" w:cs="Consolas" w:eastAsia="Consolas" w:hAnsi="Consolas"/>
          <w:sz w:val="18"/>
          <w:szCs w:val="18"/>
        </w:rPr>
        <w:t xml:space="preserve">polno</w:t>
      </w:r>
      <w:r>
        <w:rPr>
          <w:sz w:val="20"/>
          <w:szCs w:val="20"/>
        </w:rPr>
        <w:t xml:space="preserve">, </w:t>
      </w:r>
      <w:r>
        <w:rPr>
          <w:rFonts w:ascii="Consolas" w:cs="Consolas" w:eastAsia="Consolas" w:hAnsi="Consolas"/>
          <w:sz w:val="18"/>
          <w:szCs w:val="18"/>
        </w:rPr>
        <w:t xml:space="preserve">reason</w:t>
      </w:r>
      <w:r>
        <w:rPr>
          <w:sz w:val="20"/>
          <w:szCs w:val="20"/>
        </w:rPr>
        <w:t xml:space="preserve">, and the raw row as JSON. There is no </w:t>
      </w:r>
      <w:r>
        <w:rPr>
          <w:rFonts w:ascii="Consolas" w:cs="Consolas" w:eastAsia="Consolas" w:hAnsi="Consolas"/>
          <w:sz w:val="18"/>
          <w:szCs w:val="18"/>
        </w:rPr>
        <w:t xml:space="preserve">SpreadsheetApp</w:t>
      </w:r>
      <w:r>
        <w:rPr>
          <w:sz w:val="20"/>
          <w:szCs w:val="20"/>
        </w:rPr>
        <w:t xml:space="preserve">, </w:t>
      </w:r>
      <w:r>
        <w:rPr>
          <w:rFonts w:ascii="Consolas" w:cs="Consolas" w:eastAsia="Consolas" w:hAnsi="Consolas"/>
          <w:sz w:val="18"/>
          <w:szCs w:val="18"/>
        </w:rPr>
        <w:t xml:space="preserve">appendRow</w:t>
      </w:r>
      <w:r>
        <w:rPr>
          <w:sz w:val="20"/>
          <w:szCs w:val="20"/>
        </w:rPr>
        <w:t xml:space="preserve">, or any send-log in the Apps Script estate (0 occurrences of each). </w:t>
      </w:r>
      <w:r>
        <w:rPr>
          <w:rFonts w:ascii="Consolas" w:cs="Consolas" w:eastAsia="Consolas" w:hAnsi="Consolas"/>
          <w:sz w:val="18"/>
          <w:szCs w:val="18"/>
        </w:rPr>
        <w:t xml:space="preserve">iros-mail</w:t>
      </w:r>
      <w:r>
        <w:rPr>
          <w:sz w:val="20"/>
          <w:szCs w:val="20"/>
        </w:rPr>
        <w:t xml:space="preserve"> did keep its own </w:t>
      </w:r>
      <w:r>
        <w:rPr>
          <w:rFonts w:ascii="Consolas" w:cs="Consolas" w:eastAsia="Consolas" w:hAnsi="Consolas"/>
          <w:sz w:val="18"/>
          <w:szCs w:val="18"/>
        </w:rPr>
        <w:t xml:space="preserve">EmailRecord</w:t>
      </w:r>
      <w:r>
        <w:rPr>
          <w:sz w:val="20"/>
          <w:szCs w:val="20"/>
        </w:rPr>
        <w:t xml:space="preserve"> store, but that was per-message inside one service, not a cross-channel customer history. </w:t>
      </w:r>
      <w:r>
        <w:rPr>
          <w:i/>
          <w:iCs/>
          <w:sz w:val="20"/>
          <w:szCs w:val="20"/>
        </w:rPr>
        <w:t xml:space="preserve">(VERIFIED)</w:t>
      </w:r>
    </w:p>
    <w:p>
      <w:pPr>
        <w:spacing w:after="140" w:before="60" w:line="276"/>
      </w:pPr>
      <w:r>
        <w:rPr>
          <w:b/>
          <w:bCs/>
          <w:sz w:val="20"/>
          <w:szCs w:val="20"/>
        </w:rPr>
        <w:t xml:space="preserve">There was no interface.</w:t>
      </w:r>
      <w:r>
        <w:rPr>
          <w:sz w:val="20"/>
          <w:szCs w:val="20"/>
        </w:rPr>
        <w:t xml:space="preserve"> </w:t>
      </w:r>
      <w:r>
        <w:rPr>
          <w:rFonts w:ascii="Consolas" w:cs="Consolas" w:eastAsia="Consolas" w:hAnsi="Consolas"/>
          <w:sz w:val="18"/>
          <w:szCs w:val="18"/>
        </w:rPr>
        <w:t xml:space="preserve">iros-mail</w:t>
      </w:r>
      <w:r>
        <w:rPr>
          <w:sz w:val="20"/>
          <w:szCs w:val="20"/>
        </w:rPr>
        <w:t xml:space="preserve"> exposes API-key-protected HTTP endpoints only; the Apps Scripts have no UI surface. Neither system offered a way to look a customer up. </w:t>
      </w:r>
      <w:r>
        <w:rPr>
          <w:i/>
          <w:iCs/>
          <w:sz w:val="20"/>
          <w:szCs w:val="20"/>
        </w:rPr>
        <w:t xml:space="preserve">(VERIFIED)</w:t>
      </w:r>
    </w:p>
    <w:p>
      <w:pPr>
        <w:pBdr>
          <w:left w:val="single" w:color="1F3864" w:sz="12" w:space="8"/>
        </w:pBdr>
        <w:shd w:fill="F4F6FB" w:color="auto" w:val="clear"/>
        <w:spacing w:after="160" w:before="140"/>
        <w:ind w:left="240" w:right="160"/>
      </w:pPr>
      <w:r>
        <w:rPr>
          <w:b/>
          <w:bCs/>
          <w:sz w:val="19"/>
          <w:szCs w:val="19"/>
        </w:rPr>
        <w:t xml:space="preserve">Honest qualification.</w:t>
      </w:r>
      <w:r>
        <w:rPr>
          <w:sz w:val="19"/>
          <w:szCs w:val="19"/>
        </w:rPr>
        <w:t xml:space="preserve"> It is </w:t>
      </w:r>
      <w:r>
        <w:rPr>
          <w:i/>
          <w:iCs/>
          <w:sz w:val="19"/>
          <w:szCs w:val="19"/>
        </w:rPr>
        <w:t xml:space="preserve">not</w:t>
      </w:r>
      <w:r>
        <w:rPr>
          <w:sz w:val="19"/>
          <w:szCs w:val="19"/>
        </w:rPr>
        <w:t xml:space="preserve"> true that the legacy estate stored nothing — per-process markers and </w:t>
      </w:r>
      <w:r>
        <w:rPr>
          <w:rFonts w:ascii="Consolas" w:cs="Consolas" w:eastAsia="Consolas" w:hAnsi="Consolas"/>
          <w:sz w:val="18"/>
          <w:szCs w:val="18"/>
        </w:rPr>
        <w:t xml:space="preserve">iros-mail</w:t>
      </w:r>
      <w:r>
        <w:rPr>
          <w:sz w:val="19"/>
          <w:szCs w:val="19"/>
        </w:rPr>
        <w:t xml:space="preserve"> email records existed. The accurate claim is narrower and still strong: </w:t>
      </w:r>
      <w:r>
        <w:rPr>
          <w:b/>
          <w:bCs/>
          <w:sz w:val="19"/>
          <w:szCs w:val="19"/>
        </w:rPr>
        <w:t xml:space="preserve">no unified, queryable, cross-channel record of what was sent to a given customer, and no interface to ask the question.</w:t>
      </w:r>
    </w:p>
    <w:p>
      <w:pPr>
        <w:pStyle w:val="Heading2"/>
        <w:spacing w:after="120" w:before="260"/>
      </w:pPr>
      <w:r>
        <w:rPr>
          <w:b/>
          <w:bCs/>
          <w:color w:val="1F3864"/>
          <w:sz w:val="23"/>
          <w:szCs w:val="23"/>
        </w:rPr>
        <w:t xml:space="preserve">3.3 The stakeholder requirements, and what satisfies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DF0F7" w:color="auto" w:val="clear"/>
            <w:tcMar>
              <w:top w:type="dxa" w:w="60"/>
              <w:left w:type="dxa" w:w="100"/>
              <w:bottom w:type="dxa" w:w="60"/>
              <w:right w:type="dxa" w:w="100"/>
            </w:tcMar>
          </w:tcPr>
          <w:p>
            <w:pPr>
              <w:spacing w:after="0" w:before="0"/>
            </w:pPr>
            <w:r>
              <w:rPr>
                <w:b/>
                <w:bCs/>
                <w:sz w:val="18"/>
                <w:szCs w:val="18"/>
              </w:rPr>
              <w:t xml:space="preserve">Executive requirement </w:t>
            </w:r>
            <w:r>
              <w:rPr>
                <w:b/>
                <w:bCs/>
                <w:i/>
                <w:iCs/>
                <w:sz w:val="18"/>
                <w:szCs w:val="18"/>
              </w:rPr>
              <w:t xml:space="preserve">(TESTIMONY)</w:t>
            </w:r>
          </w:p>
        </w:tc>
        <w:tc>
          <w:tcPr>
            <w:tcW w:type="dxa" w:w="4513"/>
            <w:shd w:fill="EDF0F7" w:color="auto" w:val="clear"/>
            <w:tcMar>
              <w:top w:type="dxa" w:w="60"/>
              <w:left w:type="dxa" w:w="100"/>
              <w:bottom w:type="dxa" w:w="60"/>
              <w:right w:type="dxa" w:w="100"/>
            </w:tcMar>
          </w:tcPr>
          <w:p>
            <w:pPr>
              <w:spacing w:after="0" w:before="0"/>
            </w:pPr>
            <w:r>
              <w:rPr>
                <w:b/>
                <w:bCs/>
                <w:sz w:val="18"/>
                <w:szCs w:val="18"/>
              </w:rPr>
              <w:t xml:space="preserve">UCP capability </w:t>
            </w:r>
            <w:r>
              <w:rPr>
                <w:b/>
                <w:bCs/>
                <w:i/>
                <w:iCs/>
                <w:sz w:val="18"/>
                <w:szCs w:val="18"/>
              </w:rPr>
              <w:t xml:space="preserve">(VERIFIED)</w:t>
            </w:r>
          </w:p>
        </w:tc>
      </w:tr>
      <w:tr>
        <w:tc>
          <w:tcPr>
            <w:tcW w:type="dxa" w:w="4513"/>
            <w:tcMar>
              <w:top w:type="dxa" w:w="60"/>
              <w:left w:type="dxa" w:w="100"/>
              <w:bottom w:type="dxa" w:w="60"/>
              <w:right w:type="dxa" w:w="100"/>
            </w:tcMar>
          </w:tcPr>
          <w:p>
            <w:pPr>
              <w:spacing w:after="0" w:before="0"/>
            </w:pPr>
            <w:r>
              <w:rPr>
                <w:sz w:val="18"/>
                <w:szCs w:val="18"/>
              </w:rPr>
              <w:t xml:space="preserve">All company communications in one place</w:t>
            </w:r>
          </w:p>
        </w:tc>
        <w:tc>
          <w:tcPr>
            <w:tcW w:type="dxa" w:w="4513"/>
            <w:tcMar>
              <w:top w:type="dxa" w:w="60"/>
              <w:left w:type="dxa" w:w="100"/>
              <w:bottom w:type="dxa" w:w="60"/>
              <w:right w:type="dxa" w:w="100"/>
            </w:tcMar>
          </w:tcPr>
          <w:p>
            <w:pPr>
              <w:spacing w:after="0" w:before="0"/>
            </w:pPr>
            <w:r>
              <w:rPr>
                <w:sz w:val="18"/>
                <w:szCs w:val="18"/>
              </w:rPr>
              <w:t xml:space="preserve">5 provider adapters + 3 channels behind one approval/suppression model; 22 external clients routed through the platform API</w:t>
            </w:r>
          </w:p>
        </w:tc>
      </w:tr>
      <w:tr>
        <w:tc>
          <w:tcPr>
            <w:tcW w:type="dxa" w:w="4513"/>
            <w:tcMar>
              <w:top w:type="dxa" w:w="60"/>
              <w:left w:type="dxa" w:w="100"/>
              <w:bottom w:type="dxa" w:w="60"/>
              <w:right w:type="dxa" w:w="100"/>
            </w:tcMar>
          </w:tcPr>
          <w:p>
            <w:pPr>
              <w:spacing w:after="0" w:before="0"/>
            </w:pPr>
            <w:r>
              <w:rPr>
                <w:sz w:val="18"/>
                <w:szCs w:val="18"/>
              </w:rPr>
              <w:t xml:space="preserve">Visibility and monitoring of what is going out</w:t>
            </w:r>
          </w:p>
        </w:tc>
        <w:tc>
          <w:tcPr>
            <w:tcW w:type="dxa" w:w="4513"/>
            <w:tcMar>
              <w:top w:type="dxa" w:w="60"/>
              <w:left w:type="dxa" w:w="100"/>
              <w:bottom w:type="dxa" w:w="60"/>
              <w:right w:type="dxa" w:w="100"/>
            </w:tcMar>
          </w:tcPr>
          <w:p>
            <w:pPr>
              <w:spacing w:after="0" w:before="0"/>
            </w:pPr>
            <w:r>
              <w:rPr>
                <w:sz w:val="18"/>
                <w:szCs w:val="18"/>
              </w:rPr>
              <w:t xml:space="preserve">Dashboard </w:t>
            </w:r>
            <w:r>
              <w:rPr>
                <w:rFonts w:ascii="Consolas" w:cs="Consolas" w:eastAsia="Consolas" w:hAnsi="Consolas"/>
                <w:sz w:val="18"/>
                <w:szCs w:val="18"/>
              </w:rPr>
              <w:t xml:space="preserve">overview</w:t>
            </w:r>
            <w:r>
              <w:rPr>
                <w:sz w:val="18"/>
                <w:szCs w:val="18"/>
              </w:rPr>
              <w:t xml:space="preserve">, campaign message search/export, 364,430-event audit log, </w:t>
            </w:r>
            <w:r>
              <w:rPr>
                <w:rFonts w:ascii="Consolas" w:cs="Consolas" w:eastAsia="Consolas" w:hAnsi="Consolas"/>
                <w:sz w:val="18"/>
                <w:szCs w:val="18"/>
              </w:rPr>
              <w:t xml:space="preserve">ucp-execution-summary</w:t>
            </w:r>
            <w:r>
              <w:rPr>
                <w:sz w:val="18"/>
                <w:szCs w:val="18"/>
              </w:rPr>
              <w:t xml:space="preserve"> monitor API</w:t>
            </w:r>
          </w:p>
        </w:tc>
      </w:tr>
      <w:tr>
        <w:tc>
          <w:tcPr>
            <w:tcW w:type="dxa" w:w="4513"/>
            <w:tcMar>
              <w:top w:type="dxa" w:w="60"/>
              <w:left w:type="dxa" w:w="100"/>
              <w:bottom w:type="dxa" w:w="60"/>
              <w:right w:type="dxa" w:w="100"/>
            </w:tcMar>
          </w:tcPr>
          <w:p>
            <w:pPr>
              <w:spacing w:after="0" w:before="0"/>
            </w:pPr>
            <w:r>
              <w:rPr>
                <w:sz w:val="18"/>
                <w:szCs w:val="18"/>
              </w:rPr>
              <w:t xml:space="preserve">Look up a customer and see every communication sent to them</w:t>
            </w:r>
          </w:p>
        </w:tc>
        <w:tc>
          <w:tcPr>
            <w:tcW w:type="dxa" w:w="4513"/>
            <w:tcMar>
              <w:top w:type="dxa" w:w="60"/>
              <w:left w:type="dxa" w:w="100"/>
              <w:bottom w:type="dxa" w:w="60"/>
              <w:right w:type="dxa" w:w="100"/>
            </w:tcMar>
          </w:tcPr>
          <w:p>
            <w:pPr>
              <w:spacing w:after="0" w:before="0"/>
            </w:pPr>
            <w:r>
              <w:rPr>
                <w:rFonts w:ascii="Consolas" w:cs="Consolas" w:eastAsia="Consolas" w:hAnsi="Consolas"/>
                <w:sz w:val="18"/>
                <w:szCs w:val="18"/>
              </w:rPr>
              <w:t xml:space="preserve">GET /customer-communications</w:t>
            </w:r>
            <w:r>
              <w:rPr>
                <w:sz w:val="18"/>
                <w:szCs w:val="18"/>
              </w:rPr>
              <w:t xml:space="preserve"> — a </w:t>
            </w:r>
            <w:r>
              <w:rPr>
                <w:rFonts w:ascii="Consolas" w:cs="Consolas" w:eastAsia="Consolas" w:hAnsi="Consolas"/>
                <w:sz w:val="18"/>
                <w:szCs w:val="18"/>
              </w:rPr>
              <w:t xml:space="preserve">UNION ALL</w:t>
            </w:r>
            <w:r>
              <w:rPr>
                <w:sz w:val="18"/>
                <w:szCs w:val="18"/>
              </w:rPr>
              <w:t xml:space="preserve"> across </w:t>
            </w:r>
            <w:r>
              <w:rPr>
                <w:rFonts w:ascii="Consolas" w:cs="Consolas" w:eastAsia="Consolas" w:hAnsi="Consolas"/>
                <w:sz w:val="18"/>
                <w:szCs w:val="18"/>
              </w:rPr>
              <w:t xml:space="preserve">CampaignExecutionRecipient</w:t>
            </w:r>
            <w:r>
              <w:rPr>
                <w:sz w:val="18"/>
                <w:szCs w:val="18"/>
              </w:rPr>
              <w:t xml:space="preserve"> and </w:t>
            </w:r>
            <w:r>
              <w:rPr>
                <w:rFonts w:ascii="Consolas" w:cs="Consolas" w:eastAsia="Consolas" w:hAnsi="Consolas"/>
                <w:sz w:val="18"/>
                <w:szCs w:val="18"/>
              </w:rPr>
              <w:t xml:space="preserve">TransactionalEmail</w:t>
            </w:r>
            <w:r>
              <w:rPr>
                <w:sz w:val="18"/>
                <w:szCs w:val="18"/>
              </w:rPr>
              <w:t xml:space="preserve">, with a dedicated UI page</w:t>
            </w:r>
          </w:p>
        </w:tc>
      </w:tr>
      <w:tr>
        <w:tc>
          <w:tcPr>
            <w:tcW w:type="dxa" w:w="4513"/>
            <w:tcMar>
              <w:top w:type="dxa" w:w="60"/>
              <w:left w:type="dxa" w:w="100"/>
              <w:bottom w:type="dxa" w:w="60"/>
              <w:right w:type="dxa" w:w="100"/>
            </w:tcMar>
          </w:tcPr>
          <w:p>
            <w:pPr>
              <w:spacing w:after="0" w:before="0"/>
            </w:pPr>
            <w:r>
              <w:rPr>
                <w:sz w:val="18"/>
                <w:szCs w:val="18"/>
              </w:rPr>
              <w:t xml:space="preserve">Reporting and communication statistics for executives</w:t>
            </w:r>
          </w:p>
        </w:tc>
        <w:tc>
          <w:tcPr>
            <w:tcW w:type="dxa" w:w="4513"/>
            <w:tcMar>
              <w:top w:type="dxa" w:w="60"/>
              <w:left w:type="dxa" w:w="100"/>
              <w:bottom w:type="dxa" w:w="60"/>
              <w:right w:type="dxa" w:w="100"/>
            </w:tcMar>
          </w:tcPr>
          <w:p>
            <w:pPr>
              <w:spacing w:after="0" w:before="0"/>
            </w:pPr>
            <w:r>
              <w:rPr>
                <w:sz w:val="18"/>
                <w:szCs w:val="18"/>
              </w:rPr>
              <w:t xml:space="preserve">Daily summary, operational report (HTML + export), weekly audit report services</w:t>
            </w:r>
          </w:p>
        </w:tc>
      </w:tr>
      <w:tr>
        <w:tc>
          <w:tcPr>
            <w:tcW w:type="dxa" w:w="4513"/>
            <w:tcMar>
              <w:top w:type="dxa" w:w="60"/>
              <w:left w:type="dxa" w:w="100"/>
              <w:bottom w:type="dxa" w:w="60"/>
              <w:right w:type="dxa" w:w="100"/>
            </w:tcMar>
          </w:tcPr>
          <w:p>
            <w:pPr>
              <w:spacing w:after="0" w:before="0"/>
            </w:pPr>
            <w:r>
              <w:rPr>
                <w:sz w:val="18"/>
                <w:szCs w:val="18"/>
              </w:rPr>
              <w:t xml:space="preserve">Other internal systems must send </w:t>
            </w:r>
            <w:r>
              <w:rPr>
                <w:i/>
                <w:iCs/>
                <w:sz w:val="18"/>
                <w:szCs w:val="18"/>
              </w:rPr>
              <w:t xml:space="preserve">through</w:t>
            </w:r>
            <w:r>
              <w:rPr>
                <w:sz w:val="18"/>
                <w:szCs w:val="18"/>
              </w:rPr>
              <w:t xml:space="preserve"> this service</w:t>
            </w:r>
          </w:p>
        </w:tc>
        <w:tc>
          <w:tcPr>
            <w:tcW w:type="dxa" w:w="4513"/>
            <w:tcMar>
              <w:top w:type="dxa" w:w="60"/>
              <w:left w:type="dxa" w:w="100"/>
              <w:bottom w:type="dxa" w:w="60"/>
              <w:right w:type="dxa" w:w="100"/>
            </w:tcMar>
          </w:tcPr>
          <w:p>
            <w:pPr>
              <w:spacing w:after="0" w:before="0"/>
            </w:pPr>
            <w:r>
              <w:rPr>
                <w:rFonts w:ascii="Consolas" w:cs="Consolas" w:eastAsia="Consolas" w:hAnsi="Consolas"/>
                <w:sz w:val="18"/>
                <w:szCs w:val="18"/>
              </w:rPr>
              <w:t xml:space="preserve">POST /api/mail</w:t>
            </w:r>
            <w:r>
              <w:rPr>
                <w:sz w:val="18"/>
                <w:szCs w:val="18"/>
              </w:rPr>
              <w:t xml:space="preserve"> preserves the legacy </w:t>
            </w:r>
            <w:r>
              <w:rPr>
                <w:rFonts w:ascii="Consolas" w:cs="Consolas" w:eastAsia="Consolas" w:hAnsi="Consolas"/>
                <w:sz w:val="18"/>
                <w:szCs w:val="18"/>
              </w:rPr>
              <w:t xml:space="preserve">iros-mail</w:t>
            </w:r>
            <w:r>
              <w:rPr>
                <w:sz w:val="18"/>
                <w:szCs w:val="18"/>
              </w:rPr>
              <w:t xml:space="preserve"> contract verbatim (§11)</w:t>
            </w:r>
          </w:p>
        </w:tc>
      </w:tr>
    </w:tbl>
    <w:p>
      <w:pPr>
        <w:spacing w:after="180"/>
      </w:pPr>
    </w:p>
    <w:p>
      <w:pPr>
        <w:spacing w:after="140" w:before="60" w:line="276"/>
      </w:pPr>
      <w:r>
        <w:rPr>
          <w:sz w:val="20"/>
          <w:szCs w:val="20"/>
        </w:rPr>
        <w:t xml:space="preserve">The per-customer lookup is the clearest single answer to the original complaint: it unifies campaign sends and external-API sends into one searchable history, which is precisely what neither legacy system could do.</w:t>
      </w:r>
    </w:p>
    <w:p>
      <w:pPr>
        <w:pStyle w:val="Heading2"/>
        <w:spacing w:after="120" w:before="260"/>
      </w:pPr>
      <w:r>
        <w:rPr>
          <w:b/>
          <w:bCs/>
          <w:color w:val="1F3864"/>
          <w:sz w:val="23"/>
          <w:szCs w:val="23"/>
        </w:rPr>
        <w:t xml:space="preserve">3.4 Regulatory framing</w:t>
      </w:r>
    </w:p>
    <w:p>
      <w:pPr>
        <w:spacing w:after="140" w:before="60" w:line="276"/>
      </w:pPr>
      <w:r>
        <w:rPr>
          <w:sz w:val="20"/>
          <w:szCs w:val="20"/>
        </w:rPr>
        <w:t xml:space="preserve">UCP targets FCA, GDPR and PECR alignment, with non-negotiable boundaries stated in its own documentation: backend-enforced authorisation, approval before live use, queue-backed sending, reproducible evidence of what was sent, and channel-aware suppression checked before send. </w:t>
      </w:r>
      <w:r>
        <w:rPr>
          <w:i/>
          <w:iCs/>
          <w:sz w:val="20"/>
          <w:szCs w:val="20"/>
        </w:rPr>
        <w:t xml:space="preserve">(VERIFIED — `AGENTS.md`, product-scope doc)</w:t>
      </w:r>
      <w:r>
        <w:rPr>
          <w:sz w:val="20"/>
          <w:szCs w:val="20"/>
        </w:rPr>
        <w:t xml:space="preserve"> Whether a specific regulatory audit drove the timing is </w:t>
      </w:r>
      <w:r>
        <w:rPr>
          <w:b/>
          <w:bCs/>
          <w:sz w:val="20"/>
          <w:szCs w:val="20"/>
        </w:rPr>
        <w:t xml:space="preserve">UNKNOWN</w:t>
      </w:r>
      <w:r>
        <w:rPr>
          <w:sz w:val="20"/>
          <w:szCs w:val="20"/>
        </w:rPr>
        <w:t xml:space="preserve">.</w:t>
      </w:r>
    </w:p>
    <w:p>
      <w:pPr>
        <w:pStyle w:val="Heading1"/>
        <w:pBdr>
          <w:bottom w:val="single" w:color="BFBFBF" w:sz="6" w:space="6"/>
        </w:pBdr>
        <w:spacing w:after="160" w:before="360"/>
      </w:pPr>
      <w:r>
        <w:rPr>
          <w:b/>
          <w:bCs/>
          <w:color w:val="1F3864"/>
          <w:sz w:val="28"/>
          <w:szCs w:val="28"/>
        </w:rPr>
        <w:t xml:space="preserve">4. My Role and Contribution</w:t>
      </w:r>
    </w:p>
    <w:p>
      <w:pPr>
        <w:pStyle w:val="Heading2"/>
        <w:spacing w:after="120" w:before="260"/>
      </w:pPr>
      <w:r>
        <w:rPr>
          <w:b/>
          <w:bCs/>
          <w:color w:val="1F3864"/>
          <w:sz w:val="23"/>
          <w:szCs w:val="23"/>
        </w:rPr>
        <w:t xml:space="preserve">Verified personal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DF0F7" w:color="auto" w:val="clear"/>
            <w:tcMar>
              <w:top w:type="dxa" w:w="60"/>
              <w:left w:type="dxa" w:w="100"/>
              <w:bottom w:type="dxa" w:w="60"/>
              <w:right w:type="dxa" w:w="100"/>
            </w:tcMar>
          </w:tcPr>
          <w:p>
            <w:pPr>
              <w:spacing w:after="0" w:before="0"/>
            </w:pPr>
            <w:r>
              <w:rPr>
                <w:b/>
                <w:bCs/>
                <w:sz w:val="18"/>
                <w:szCs w:val="18"/>
              </w:rPr>
              <w:t xml:space="preserve">Repository</w:t>
            </w:r>
          </w:p>
        </w:tc>
        <w:tc>
          <w:tcPr>
            <w:tcW w:type="dxa" w:w="2256"/>
            <w:shd w:fill="EDF0F7" w:color="auto" w:val="clear"/>
            <w:tcMar>
              <w:top w:type="dxa" w:w="60"/>
              <w:left w:type="dxa" w:w="100"/>
              <w:bottom w:type="dxa" w:w="60"/>
              <w:right w:type="dxa" w:w="100"/>
            </w:tcMar>
          </w:tcPr>
          <w:p>
            <w:pPr>
              <w:spacing w:after="0" w:before="0"/>
            </w:pPr>
            <w:r>
              <w:rPr>
                <w:b/>
                <w:bCs/>
                <w:sz w:val="18"/>
                <w:szCs w:val="18"/>
              </w:rPr>
              <w:t xml:space="preserve">Commits (subject)</w:t>
            </w:r>
          </w:p>
        </w:tc>
        <w:tc>
          <w:tcPr>
            <w:tcW w:type="dxa" w:w="2256"/>
            <w:shd w:fill="EDF0F7" w:color="auto" w:val="clear"/>
            <w:tcMar>
              <w:top w:type="dxa" w:w="60"/>
              <w:left w:type="dxa" w:w="100"/>
              <w:bottom w:type="dxa" w:w="60"/>
              <w:right w:type="dxa" w:w="100"/>
            </w:tcMar>
          </w:tcPr>
          <w:p>
            <w:pPr>
              <w:spacing w:after="0" w:before="0"/>
            </w:pPr>
            <w:r>
              <w:rPr>
                <w:b/>
                <w:bCs/>
                <w:sz w:val="18"/>
                <w:szCs w:val="18"/>
              </w:rPr>
              <w:t xml:space="preserve">Commits (others)</w:t>
            </w:r>
          </w:p>
        </w:tc>
        <w:tc>
          <w:tcPr>
            <w:tcW w:type="dxa" w:w="2256"/>
            <w:shd w:fill="EDF0F7" w:color="auto" w:val="clear"/>
            <w:tcMar>
              <w:top w:type="dxa" w:w="60"/>
              <w:left w:type="dxa" w:w="100"/>
              <w:bottom w:type="dxa" w:w="60"/>
              <w:right w:type="dxa" w:w="100"/>
            </w:tcMar>
          </w:tcPr>
          <w:p>
            <w:pPr>
              <w:spacing w:after="0" w:before="0"/>
            </w:pPr>
            <w:r>
              <w:rPr>
                <w:b/>
                <w:bCs/>
                <w:sz w:val="18"/>
                <w:szCs w:val="18"/>
              </w:rPr>
              <w:t xml:space="preserve">Source lines added/removed (subject)</w:t>
            </w:r>
          </w:p>
        </w:tc>
      </w:tr>
      <w:tr>
        <w:tc>
          <w:tcPr>
            <w:tcW w:type="dxa" w:w="2258"/>
            <w:tcMar>
              <w:top w:type="dxa" w:w="60"/>
              <w:left w:type="dxa" w:w="100"/>
              <w:bottom w:type="dxa" w:w="60"/>
              <w:right w:type="dxa" w:w="100"/>
            </w:tcMar>
          </w:tcPr>
          <w:p>
            <w:pPr>
              <w:spacing w:after="0" w:before="0"/>
            </w:pPr>
            <w:r>
              <w:rPr>
                <w:rFonts w:ascii="Consolas" w:cs="Consolas" w:eastAsia="Consolas" w:hAnsi="Consolas"/>
                <w:sz w:val="18"/>
                <w:szCs w:val="18"/>
              </w:rPr>
              <w:t xml:space="preserve">ucp-backend</w:t>
            </w:r>
          </w:p>
        </w:tc>
        <w:tc>
          <w:tcPr>
            <w:tcW w:type="dxa" w:w="2256"/>
            <w:tcMar>
              <w:top w:type="dxa" w:w="60"/>
              <w:left w:type="dxa" w:w="100"/>
              <w:bottom w:type="dxa" w:w="60"/>
              <w:right w:type="dxa" w:w="100"/>
            </w:tcMar>
          </w:tcPr>
          <w:p>
            <w:pPr>
              <w:spacing w:after="0" w:before="0"/>
            </w:pPr>
            <w:r>
              <w:rPr>
                <w:sz w:val="18"/>
                <w:szCs w:val="18"/>
              </w:rPr>
              <w:t xml:space="preserve">221</w:t>
            </w:r>
          </w:p>
        </w:tc>
        <w:tc>
          <w:tcPr>
            <w:tcW w:type="dxa" w:w="2256"/>
            <w:tcMar>
              <w:top w:type="dxa" w:w="60"/>
              <w:left w:type="dxa" w:w="100"/>
              <w:bottom w:type="dxa" w:w="60"/>
              <w:right w:type="dxa" w:w="100"/>
            </w:tcMar>
          </w:tcPr>
          <w:p>
            <w:pPr>
              <w:spacing w:after="0" w:before="0"/>
            </w:pPr>
            <w:r>
              <w:rPr>
                <w:sz w:val="18"/>
                <w:szCs w:val="18"/>
              </w:rPr>
              <w:t xml:space="preserve">7 (</w:t>
            </w:r>
            <w:r>
              <w:rPr>
                <w:rFonts w:ascii="Consolas" w:cs="Consolas" w:eastAsia="Consolas" w:hAnsi="Consolas"/>
                <w:sz w:val="18"/>
                <w:szCs w:val="18"/>
              </w:rPr>
              <w:t xml:space="preserve">zayan_DevOps</w:t>
            </w:r>
            <w:r>
              <w:rPr>
                <w:sz w:val="18"/>
                <w:szCs w:val="18"/>
              </w:rPr>
              <w:t xml:space="preserve">)</w:t>
            </w:r>
          </w:p>
        </w:tc>
        <w:tc>
          <w:tcPr>
            <w:tcW w:type="dxa" w:w="2256"/>
            <w:tcMar>
              <w:top w:type="dxa" w:w="60"/>
              <w:left w:type="dxa" w:w="100"/>
              <w:bottom w:type="dxa" w:w="60"/>
              <w:right w:type="dxa" w:w="100"/>
            </w:tcMar>
          </w:tcPr>
          <w:p>
            <w:pPr>
              <w:spacing w:after="0" w:before="0"/>
            </w:pPr>
            <w:r>
              <w:rPr>
                <w:sz w:val="18"/>
                <w:szCs w:val="18"/>
              </w:rPr>
              <w:t xml:space="preserve">+77,448 / −10,115</w:t>
            </w:r>
          </w:p>
        </w:tc>
      </w:tr>
      <w:tr>
        <w:tc>
          <w:tcPr>
            <w:tcW w:type="dxa" w:w="2258"/>
            <w:tcMar>
              <w:top w:type="dxa" w:w="60"/>
              <w:left w:type="dxa" w:w="100"/>
              <w:bottom w:type="dxa" w:w="60"/>
              <w:right w:type="dxa" w:w="100"/>
            </w:tcMar>
          </w:tcPr>
          <w:p>
            <w:pPr>
              <w:spacing w:after="0" w:before="0"/>
            </w:pPr>
            <w:r>
              <w:rPr>
                <w:rFonts w:ascii="Consolas" w:cs="Consolas" w:eastAsia="Consolas" w:hAnsi="Consolas"/>
                <w:sz w:val="18"/>
                <w:szCs w:val="18"/>
              </w:rPr>
              <w:t xml:space="preserve">ucp-frontend-lovable</w:t>
            </w:r>
          </w:p>
        </w:tc>
        <w:tc>
          <w:tcPr>
            <w:tcW w:type="dxa" w:w="2256"/>
            <w:tcMar>
              <w:top w:type="dxa" w:w="60"/>
              <w:left w:type="dxa" w:w="100"/>
              <w:bottom w:type="dxa" w:w="60"/>
              <w:right w:type="dxa" w:w="100"/>
            </w:tcMar>
          </w:tcPr>
          <w:p>
            <w:pPr>
              <w:spacing w:after="0" w:before="0"/>
            </w:pPr>
            <w:r>
              <w:rPr>
                <w:sz w:val="18"/>
                <w:szCs w:val="18"/>
              </w:rPr>
              <w:t xml:space="preserve">149</w:t>
            </w:r>
          </w:p>
        </w:tc>
        <w:tc>
          <w:tcPr>
            <w:tcW w:type="dxa" w:w="2256"/>
            <w:tcMar>
              <w:top w:type="dxa" w:w="60"/>
              <w:left w:type="dxa" w:w="100"/>
              <w:bottom w:type="dxa" w:w="60"/>
              <w:right w:type="dxa" w:w="100"/>
            </w:tcMar>
          </w:tcPr>
          <w:p>
            <w:pPr>
              <w:spacing w:after="0" w:before="0"/>
            </w:pPr>
            <w:r>
              <w:rPr>
                <w:sz w:val="18"/>
                <w:szCs w:val="18"/>
              </w:rPr>
              <w:t xml:space="preserve">238 bot, 2 other</w:t>
            </w:r>
          </w:p>
        </w:tc>
        <w:tc>
          <w:tcPr>
            <w:tcW w:type="dxa" w:w="2256"/>
            <w:tcMar>
              <w:top w:type="dxa" w:w="60"/>
              <w:left w:type="dxa" w:w="100"/>
              <w:bottom w:type="dxa" w:w="60"/>
              <w:right w:type="dxa" w:w="100"/>
            </w:tcMar>
          </w:tcPr>
          <w:p>
            <w:pPr>
              <w:spacing w:after="0" w:before="0"/>
            </w:pPr>
            <w:r>
              <w:rPr>
                <w:sz w:val="18"/>
                <w:szCs w:val="18"/>
              </w:rPr>
              <w:t xml:space="preserve">+37,712 / −10,248</w:t>
            </w:r>
          </w:p>
        </w:tc>
      </w:tr>
      <w:tr>
        <w:tc>
          <w:tcPr>
            <w:tcW w:type="dxa" w:w="2258"/>
            <w:tcMar>
              <w:top w:type="dxa" w:w="60"/>
              <w:left w:type="dxa" w:w="100"/>
              <w:bottom w:type="dxa" w:w="60"/>
              <w:right w:type="dxa" w:w="100"/>
            </w:tcMar>
          </w:tcPr>
          <w:p>
            <w:pPr>
              <w:spacing w:after="0" w:before="0"/>
            </w:pPr>
            <w:r>
              <w:rPr>
                <w:rFonts w:ascii="Consolas" w:cs="Consolas" w:eastAsia="Consolas" w:hAnsi="Consolas"/>
                <w:sz w:val="18"/>
                <w:szCs w:val="18"/>
              </w:rPr>
              <w:t xml:space="preserve">ucp-documentation</w:t>
            </w:r>
          </w:p>
        </w:tc>
        <w:tc>
          <w:tcPr>
            <w:tcW w:type="dxa" w:w="2256"/>
            <w:tcMar>
              <w:top w:type="dxa" w:w="60"/>
              <w:left w:type="dxa" w:w="100"/>
              <w:bottom w:type="dxa" w:w="60"/>
              <w:right w:type="dxa" w:w="100"/>
            </w:tcMar>
          </w:tcPr>
          <w:p>
            <w:pPr>
              <w:spacing w:after="0" w:before="0"/>
            </w:pPr>
            <w:r>
              <w:rPr>
                <w:sz w:val="18"/>
                <w:szCs w:val="18"/>
              </w:rPr>
              <w:t xml:space="preserve">17</w:t>
            </w:r>
          </w:p>
        </w:tc>
        <w:tc>
          <w:tcPr>
            <w:tcW w:type="dxa" w:w="2256"/>
            <w:tcMar>
              <w:top w:type="dxa" w:w="60"/>
              <w:left w:type="dxa" w:w="100"/>
              <w:bottom w:type="dxa" w:w="60"/>
              <w:right w:type="dxa" w:w="100"/>
            </w:tcMar>
          </w:tcPr>
          <w:p>
            <w:pPr>
              <w:spacing w:after="0" w:before="0"/>
            </w:pPr>
            <w:r>
              <w:rPr>
                <w:sz w:val="18"/>
                <w:szCs w:val="18"/>
              </w:rPr>
              <w:t xml:space="preserve">0</w:t>
            </w:r>
          </w:p>
        </w:tc>
        <w:tc>
          <w:tcPr>
            <w:tcW w:type="dxa" w:w="2256"/>
            <w:tcMar>
              <w:top w:type="dxa" w:w="60"/>
              <w:left w:type="dxa" w:w="100"/>
              <w:bottom w:type="dxa" w:w="60"/>
              <w:right w:type="dxa" w:w="100"/>
            </w:tcMar>
          </w:tcPr>
          <w:p>
            <w:pPr>
              <w:spacing w:after="0" w:before="0"/>
            </w:pPr>
            <w:r>
              <w:rPr>
                <w:sz w:val="18"/>
                <w:szCs w:val="18"/>
              </w:rPr>
              <w:t xml:space="preserve">—</w:t>
            </w:r>
          </w:p>
        </w:tc>
      </w:tr>
      <w:tr>
        <w:tc>
          <w:tcPr>
            <w:tcW w:type="dxa" w:w="2258"/>
            <w:tcMar>
              <w:top w:type="dxa" w:w="60"/>
              <w:left w:type="dxa" w:w="100"/>
              <w:bottom w:type="dxa" w:w="60"/>
              <w:right w:type="dxa" w:w="100"/>
            </w:tcMar>
          </w:tcPr>
          <w:p>
            <w:pPr>
              <w:spacing w:after="0" w:before="0"/>
            </w:pPr>
            <w:r>
              <w:rPr>
                <w:rFonts w:ascii="Consolas" w:cs="Consolas" w:eastAsia="Consolas" w:hAnsi="Consolas"/>
                <w:sz w:val="18"/>
                <w:szCs w:val="18"/>
              </w:rPr>
              <w:t xml:space="preserve">ucp-frontend</w:t>
            </w:r>
          </w:p>
        </w:tc>
        <w:tc>
          <w:tcPr>
            <w:tcW w:type="dxa" w:w="2256"/>
            <w:tcMar>
              <w:top w:type="dxa" w:w="60"/>
              <w:left w:type="dxa" w:w="100"/>
              <w:bottom w:type="dxa" w:w="60"/>
              <w:right w:type="dxa" w:w="100"/>
            </w:tcMar>
          </w:tcPr>
          <w:p>
            <w:pPr>
              <w:spacing w:after="0" w:before="0"/>
            </w:pPr>
            <w:r>
              <w:rPr>
                <w:sz w:val="18"/>
                <w:szCs w:val="18"/>
              </w:rPr>
              <w:t xml:space="preserve">12</w:t>
            </w:r>
          </w:p>
        </w:tc>
        <w:tc>
          <w:tcPr>
            <w:tcW w:type="dxa" w:w="2256"/>
            <w:tcMar>
              <w:top w:type="dxa" w:w="60"/>
              <w:left w:type="dxa" w:w="100"/>
              <w:bottom w:type="dxa" w:w="60"/>
              <w:right w:type="dxa" w:w="100"/>
            </w:tcMar>
          </w:tcPr>
          <w:p>
            <w:pPr>
              <w:spacing w:after="0" w:before="0"/>
            </w:pPr>
            <w:r>
              <w:rPr>
                <w:sz w:val="18"/>
                <w:szCs w:val="18"/>
              </w:rPr>
              <w:t xml:space="preserve">0</w:t>
            </w:r>
          </w:p>
        </w:tc>
        <w:tc>
          <w:tcPr>
            <w:tcW w:type="dxa" w:w="2256"/>
            <w:tcMar>
              <w:top w:type="dxa" w:w="60"/>
              <w:left w:type="dxa" w:w="100"/>
              <w:bottom w:type="dxa" w:w="60"/>
              <w:right w:type="dxa" w:w="100"/>
            </w:tcMar>
          </w:tcPr>
          <w:p>
            <w:pPr>
              <w:spacing w:after="0" w:before="0"/>
            </w:pPr>
            <w:r>
              <w:rPr>
                <w:sz w:val="18"/>
                <w:szCs w:val="18"/>
              </w:rPr>
              <w:t xml:space="preserve">—</w:t>
            </w:r>
          </w:p>
        </w:tc>
      </w:tr>
    </w:tbl>
    <w:p>
      <w:pPr>
        <w:spacing w:after="180"/>
      </w:pPr>
    </w:p>
    <w:p>
      <w:pPr>
        <w:spacing w:after="140" w:before="60" w:line="276"/>
      </w:pPr>
      <w:r>
        <w:rPr>
          <w:i/>
          <w:iCs/>
          <w:sz w:val="20"/>
          <w:szCs w:val="20"/>
        </w:rPr>
        <w:t xml:space="preserve">(VERIFIED — `git shortlog -sne`, `git log --numstat`)</w:t>
      </w:r>
    </w:p>
    <w:p>
      <w:pPr>
        <w:spacing w:after="140" w:before="60" w:line="276"/>
      </w:pPr>
      <w:r>
        <w:rPr>
          <w:sz w:val="20"/>
          <w:szCs w:val="20"/>
        </w:rPr>
        <w:t xml:space="preserve">The backend is </w:t>
      </w:r>
      <w:r>
        <w:rPr>
          <w:b/>
          <w:bCs/>
          <w:sz w:val="20"/>
          <w:szCs w:val="20"/>
        </w:rPr>
        <w:t xml:space="preserve">single-author to a near-total degree</w:t>
      </w:r>
      <w:r>
        <w:rPr>
          <w:sz w:val="20"/>
          <w:szCs w:val="20"/>
        </w:rPr>
        <w:t xml:space="preserve">: the other contributor added 7 lines and removed 2, consistent with a DevOps/config touch rather than feature work.</w:t>
      </w:r>
    </w:p>
    <w:p>
      <w:pPr>
        <w:spacing w:after="140" w:before="60" w:line="276"/>
      </w:pPr>
      <w:r>
        <w:rPr>
          <w:sz w:val="20"/>
          <w:szCs w:val="20"/>
        </w:rPr>
        <w:t xml:space="preserve">Sustained ownership across the full lifespan is verifiable: first commit 22 April 2026, latest 8 October 2026, with commits in every month — backend 25/36/76/52/17/21/1 by month Apr→Oct. </w:t>
      </w:r>
      <w:r>
        <w:rPr>
          <w:i/>
          <w:iCs/>
          <w:sz w:val="20"/>
          <w:szCs w:val="20"/>
        </w:rPr>
        <w:t xml:space="preserve">(VERIFIED)</w:t>
      </w:r>
    </w:p>
    <w:p>
      <w:pPr>
        <w:pStyle w:val="Heading2"/>
        <w:spacing w:after="120" w:before="260"/>
      </w:pPr>
      <w:r>
        <w:rPr>
          <w:b/>
          <w:bCs/>
          <w:color w:val="1F3864"/>
          <w:sz w:val="23"/>
          <w:szCs w:val="23"/>
        </w:rPr>
        <w:t xml:space="preserve">Honest qualification on AI assistance</w:t>
      </w:r>
    </w:p>
    <w:p>
      <w:pPr>
        <w:spacing w:after="140" w:before="60" w:line="276"/>
      </w:pPr>
      <w:r>
        <w:rPr>
          <w:sz w:val="20"/>
          <w:szCs w:val="20"/>
        </w:rPr>
        <w:t xml:space="preserve">This project was developed with AI tooling, and the record should say so plainly:</w:t>
      </w:r>
    </w:p>
    <w:p>
      <w:pPr>
        <w:pStyle w:val="ListParagraph"/>
        <w:numPr>
          <w:ilvl w:val="0"/>
          <w:numId w:val="2"/>
        </w:numPr>
        <w:spacing w:after="40" w:before="40"/>
      </w:pPr>
      <w:r>
        <w:rPr>
          <w:sz w:val="20"/>
          <w:szCs w:val="20"/>
        </w:rPr>
        <w:t xml:space="preserve">The active frontend was </w:t>
      </w:r>
      <w:r>
        <w:rPr>
          <w:b/>
          <w:bCs/>
          <w:sz w:val="20"/>
          <w:szCs w:val="20"/>
        </w:rPr>
        <w:t xml:space="preserve">scaffolded by Lovable's `gpt-engineer-app[bot]`</w:t>
      </w:r>
      <w:r>
        <w:rPr>
          <w:sz w:val="20"/>
          <w:szCs w:val="20"/>
        </w:rPr>
        <w:t xml:space="preserve"> between 22 and 28 April 2026 (+10,866 lines). However </w:t>
      </w:r>
      <w:r>
        <w:rPr>
          <w:b/>
          <w:bCs/>
          <w:sz w:val="20"/>
          <w:szCs w:val="20"/>
        </w:rPr>
        <w:t xml:space="preserve">231 of 238</w:t>
      </w:r>
      <w:r>
        <w:rPr>
          <w:sz w:val="20"/>
          <w:szCs w:val="20"/>
        </w:rPr>
        <w:t xml:space="preserve"> of those commits list the subject as co-author, indicating he was directing the generations rather than inheriting someone else's codebase. After 28 April the bot never commits again; all 149 later commits are his. </w:t>
      </w:r>
      <w:r>
        <w:rPr>
          <w:i/>
          <w:iCs/>
          <w:sz w:val="20"/>
          <w:szCs w:val="20"/>
        </w:rPr>
        <w:t xml:space="preserve">(VERIFIED)</w:t>
      </w:r>
    </w:p>
    <w:p>
      <w:pPr>
        <w:pStyle w:val="ListParagraph"/>
        <w:numPr>
          <w:ilvl w:val="0"/>
          <w:numId w:val="2"/>
        </w:numPr>
        <w:spacing w:after="40" w:before="40"/>
      </w:pPr>
      <w:r>
        <w:rPr>
          <w:rFonts w:ascii="Consolas" w:cs="Consolas" w:eastAsia="Consolas" w:hAnsi="Consolas"/>
          <w:sz w:val="18"/>
          <w:szCs w:val="18"/>
        </w:rPr>
        <w:t xml:space="preserve">AGENTS.md</w:t>
      </w:r>
      <w:r>
        <w:rPr>
          <w:sz w:val="20"/>
          <w:szCs w:val="20"/>
        </w:rPr>
        <w:t xml:space="preserve"> is a detailed agent-instruction file, so coding agents were used on the backend too. Backend commits carry </w:t>
      </w:r>
      <w:r>
        <w:rPr>
          <w:b/>
          <w:bCs/>
          <w:sz w:val="20"/>
          <w:szCs w:val="20"/>
        </w:rPr>
        <w:t xml:space="preserve">no</w:t>
      </w:r>
      <w:r>
        <w:rPr>
          <w:sz w:val="20"/>
          <w:szCs w:val="20"/>
        </w:rPr>
        <w:t xml:space="preserve"> co-author trailers, so the split between hand-written and AI-assisted backend code </w:t>
      </w:r>
      <w:r>
        <w:rPr>
          <w:b/>
          <w:bCs/>
          <w:sz w:val="20"/>
          <w:szCs w:val="20"/>
        </w:rPr>
        <w:t xml:space="preserve">cannot be determined</w:t>
      </w:r>
      <w:r>
        <w:rPr>
          <w:sz w:val="20"/>
          <w:szCs w:val="20"/>
        </w:rPr>
        <w:t xml:space="preserve"> </w:t>
      </w:r>
      <w:r>
        <w:rPr>
          <w:i/>
          <w:iCs/>
          <w:sz w:val="20"/>
          <w:szCs w:val="20"/>
        </w:rPr>
        <w:t xml:space="preserve">(UNKNOWN)</w:t>
      </w:r>
      <w:r>
        <w:rPr>
          <w:sz w:val="20"/>
          <w:szCs w:val="20"/>
        </w:rPr>
        <w:t xml:space="preserve">.</w:t>
      </w:r>
    </w:p>
    <w:p>
      <w:pPr>
        <w:spacing w:after="140" w:before="60" w:line="276"/>
      </w:pPr>
      <w:r>
        <w:rPr>
          <w:sz w:val="20"/>
          <w:szCs w:val="20"/>
        </w:rPr>
        <w:t xml:space="preserve">The defensible framing is </w:t>
      </w:r>
      <w:r>
        <w:rPr>
          <w:b/>
          <w:bCs/>
          <w:sz w:val="20"/>
          <w:szCs w:val="20"/>
        </w:rPr>
        <w:t xml:space="preserve">architectural ownership and direction</w:t>
      </w:r>
      <w:r>
        <w:rPr>
          <w:sz w:val="20"/>
          <w:szCs w:val="20"/>
        </w:rPr>
        <w:t xml:space="preserve">, not keystroke authorship: the module boundaries, data model, approval model, execution-plane design and provider abstraction are consistent across 228 commits under one identity, and the agent-instruction file that governs the AI tooling is itself his design artefact.</w:t>
      </w:r>
    </w:p>
    <w:p>
      <w:pPr>
        <w:pStyle w:val="Heading2"/>
        <w:spacing w:after="120" w:before="260"/>
      </w:pPr>
      <w:r>
        <w:rPr>
          <w:b/>
          <w:bCs/>
          <w:color w:val="1F3864"/>
          <w:sz w:val="23"/>
          <w:szCs w:val="23"/>
        </w:rPr>
        <w:t xml:space="preserve">Attribution that cannot be established</w:t>
      </w:r>
    </w:p>
    <w:p>
      <w:pPr>
        <w:spacing w:after="140" w:before="60" w:line="276"/>
      </w:pPr>
      <w:r>
        <w:rPr>
          <w:sz w:val="20"/>
          <w:szCs w:val="20"/>
        </w:rPr>
        <w:t xml:space="preserve">Infrastructure provisioning (Azure subscription, Service Bus namespace, container registry, database), the decision to adopt Lovable, and business/stakeholder requirements-gathering. CI workflows exist in-repo but their original authorship was not separately traced. </w:t>
      </w:r>
      <w:r>
        <w:rPr>
          <w:i/>
          <w:iCs/>
          <w:sz w:val="20"/>
          <w:szCs w:val="20"/>
        </w:rPr>
        <w:t xml:space="preserve">(UNKNOWN)</w:t>
      </w:r>
    </w:p>
    <w:p>
      <w:pPr>
        <w:pStyle w:val="Heading1"/>
        <w:pBdr>
          <w:bottom w:val="single" w:color="BFBFBF" w:sz="6" w:space="6"/>
        </w:pBdr>
        <w:spacing w:after="160" w:before="360"/>
      </w:pPr>
      <w:r>
        <w:rPr>
          <w:b/>
          <w:bCs/>
          <w:color w:val="1F3864"/>
          <w:sz w:val="28"/>
          <w:szCs w:val="28"/>
        </w:rPr>
        <w:t xml:space="preserve">5. System Architecture</w:t>
      </w:r>
    </w:p>
    <w:p>
      <w:pPr>
        <w:shd w:fill="F7F8FA" w:color="auto" w:val="clear"/>
        <w:spacing w:after="0" w:before="120" w:line="200"/>
      </w:pPr>
      <w:r>
        <w:rPr>
          <w:rFonts w:ascii="Menlo" w:cs="Menlo" w:eastAsia="Menlo" w:hAnsi="Menlo"/>
          <w:sz w:val="13"/>
          <w:szCs w:val="13"/>
        </w:rPr>
        <w:t xml:space="preserve">┌──────────────────────┐        ┌───────────────────────────────────────────┐</w:t>
      </w:r>
    </w:p>
    <w:p>
      <w:pPr>
        <w:shd w:fill="F7F8FA" w:color="auto" w:val="clear"/>
        <w:spacing w:after="0" w:before="0" w:line="200"/>
      </w:pPr>
      <w:r>
        <w:rPr>
          <w:rFonts w:ascii="Menlo" w:cs="Menlo" w:eastAsia="Menlo" w:hAnsi="Menlo"/>
          <w:sz w:val="13"/>
          <w:szCs w:val="13"/>
        </w:rPr>
        <w:t xml:space="preserve">│  React / Vite SPA    │        │  External integrators (22 API clients)    │</w:t>
      </w:r>
    </w:p>
    <w:p>
      <w:pPr>
        <w:shd w:fill="F7F8FA" w:color="auto" w:val="clear"/>
        <w:spacing w:after="0" w:before="0" w:line="200"/>
      </w:pPr>
      <w:r>
        <w:rPr>
          <w:rFonts w:ascii="Menlo" w:cs="Menlo" w:eastAsia="Menlo" w:hAnsi="Menlo"/>
          <w:sz w:val="13"/>
          <w:szCs w:val="13"/>
        </w:rPr>
        <w:t xml:space="preserve">│  Azure Static Web    │        │  → /mail, /sms, /whatsapp                 │</w:t>
      </w:r>
    </w:p>
    <w:p>
      <w:pPr>
        <w:shd w:fill="F7F8FA" w:color="auto" w:val="clear"/>
        <w:spacing w:after="0" w:before="0" w:line="200"/>
      </w:pPr>
      <w:r>
        <w:rPr>
          <w:rFonts w:ascii="Menlo" w:cs="Menlo" w:eastAsia="Menlo" w:hAnsi="Menlo"/>
          <w:sz w:val="13"/>
          <w:szCs w:val="13"/>
        </w:rPr>
        <w:t xml:space="preserve">│  Apps                │        └──────────────────┬────────────────────────┘</w:t>
      </w:r>
    </w:p>
    <w:p>
      <w:pPr>
        <w:shd w:fill="F7F8FA" w:color="auto" w:val="clear"/>
        <w:spacing w:after="0" w:before="0" w:line="200"/>
      </w:pPr>
      <w:r>
        <w:rPr>
          <w:rFonts w:ascii="Menlo" w:cs="Menlo" w:eastAsia="Menlo" w:hAnsi="Menlo"/>
          <w:sz w:val="13"/>
          <w:szCs w:val="13"/>
        </w:rPr>
        <w:t xml:space="preserve">└──────────┬───────────┘                           │</w:t>
      </w:r>
    </w:p>
    <w:p>
      <w:pPr>
        <w:shd w:fill="F7F8FA" w:color="auto" w:val="clear"/>
        <w:spacing w:after="0" w:before="0" w:line="200"/>
      </w:pPr>
      <w:r>
        <w:rPr>
          <w:rFonts w:ascii="Menlo" w:cs="Menlo" w:eastAsia="Menlo" w:hAnsi="Menlo"/>
          <w:sz w:val="13"/>
          <w:szCs w:val="13"/>
        </w:rPr>
        <w:t xml:space="preserve">           │ session cookie                        │ API key</w:t>
      </w:r>
    </w:p>
    <w:p>
      <w:pPr>
        <w:shd w:fill="F7F8FA" w:color="auto" w:val="clear"/>
        <w:spacing w:after="0" w:before="0" w:line="200"/>
      </w:pPr>
      <w:r>
        <w:rPr>
          <w:rFonts w:ascii="Menlo" w:cs="Menlo" w:eastAsia="Menlo" w:hAnsi="Menlo"/>
          <w:sz w:val="13"/>
          <w:szCs w:val="13"/>
        </w:rPr>
        <w:t xml:space="preserve">           ▼                                       ▼</w:t>
      </w:r>
    </w:p>
    <w:p>
      <w:pPr>
        <w:shd w:fill="F7F8FA" w:color="auto" w:val="clear"/>
        <w:spacing w:after="0" w:before="0" w:line="200"/>
      </w:pPr>
      <w:r>
        <w:rPr>
          <w:rFonts w:ascii="Menlo" w:cs="Menlo" w:eastAsia="Menlo" w:hAnsi="Menlo"/>
          <w:sz w:val="13"/>
          <w:szCs w:val="13"/>
        </w:rPr>
        <w:t xml:space="preserve">┌──────────────────────────────────────────────────────────────────────────┐</w:t>
      </w:r>
    </w:p>
    <w:p>
      <w:pPr>
        <w:shd w:fill="F7F8FA" w:color="auto" w:val="clear"/>
        <w:spacing w:after="0" w:before="0" w:line="200"/>
      </w:pPr>
      <w:r>
        <w:rPr>
          <w:rFonts w:ascii="Menlo" w:cs="Menlo" w:eastAsia="Menlo" w:hAnsi="Menlo"/>
          <w:sz w:val="13"/>
          <w:szCs w:val="13"/>
        </w:rPr>
        <w:t xml:space="preserve">│  NestJS API — Azure Web App (container)   19 modules · 155 routes        │</w:t>
      </w:r>
    </w:p>
    <w:p>
      <w:pPr>
        <w:shd w:fill="F7F8FA" w:color="auto" w:val="clear"/>
        <w:spacing w:after="0" w:before="0" w:line="200"/>
      </w:pPr>
      <w:r>
        <w:rPr>
          <w:rFonts w:ascii="Menlo" w:cs="Menlo" w:eastAsia="Menlo" w:hAnsi="Menlo"/>
          <w:sz w:val="13"/>
          <w:szCs w:val="13"/>
        </w:rPr>
        <w:t xml:space="preserve">│                                                                          │</w:t>
      </w:r>
    </w:p>
    <w:p>
      <w:pPr>
        <w:shd w:fill="F7F8FA" w:color="auto" w:val="clear"/>
        <w:spacing w:after="0" w:before="0" w:line="200"/>
      </w:pPr>
      <w:r>
        <w:rPr>
          <w:rFonts w:ascii="Menlo" w:cs="Menlo" w:eastAsia="Menlo" w:hAnsi="Menlo"/>
          <w:sz w:val="13"/>
          <w:szCs w:val="13"/>
        </w:rPr>
        <w:t xml:space="preserve">│  CONTROL PLANE                         EXECUTION PLANE                   │</w:t>
      </w:r>
    </w:p>
    <w:p>
      <w:pPr>
        <w:shd w:fill="F7F8FA" w:color="auto" w:val="clear"/>
        <w:spacing w:after="0" w:before="0" w:line="200"/>
      </w:pPr>
      <w:r>
        <w:rPr>
          <w:rFonts w:ascii="Menlo" w:cs="Menlo" w:eastAsia="Menlo" w:hAnsi="Menlo"/>
          <w:sz w:val="13"/>
          <w:szCs w:val="13"/>
        </w:rPr>
        <w:t xml:space="preserve">│  ├─ auth (Google OIDC, invite-only)    ├─ execution (runs, recipients)   │</w:t>
      </w:r>
    </w:p>
    <w:p>
      <w:pPr>
        <w:shd w:fill="F7F8FA" w:color="auto" w:val="clear"/>
        <w:spacing w:after="0" w:before="0" w:line="200"/>
      </w:pPr>
      <w:r>
        <w:rPr>
          <w:rFonts w:ascii="Menlo" w:cs="Menlo" w:eastAsia="Menlo" w:hAnsi="Menlo"/>
          <w:sz w:val="13"/>
          <w:szCs w:val="13"/>
        </w:rPr>
        <w:t xml:space="preserve">│  ├─ campaigns / templates              ├─ scheduling (dispatcher)        │</w:t>
      </w:r>
    </w:p>
    <w:p>
      <w:pPr>
        <w:shd w:fill="F7F8FA" w:color="auto" w:val="clear"/>
        <w:spacing w:after="0" w:before="0" w:line="200"/>
      </w:pPr>
      <w:r>
        <w:rPr>
          <w:rFonts w:ascii="Menlo" w:cs="Menlo" w:eastAsia="Menlo" w:hAnsi="Menlo"/>
          <w:sz w:val="13"/>
          <w:szCs w:val="13"/>
        </w:rPr>
        <w:t xml:space="preserve">│  ├─ approvals (backend-enforced)       ├─ preset-flows (realtime poller) │</w:t>
      </w:r>
    </w:p>
    <w:p>
      <w:pPr>
        <w:shd w:fill="F7F8FA" w:color="auto" w:val="clear"/>
        <w:spacing w:after="0" w:before="0" w:line="200"/>
      </w:pPr>
      <w:r>
        <w:rPr>
          <w:rFonts w:ascii="Menlo" w:cs="Menlo" w:eastAsia="Menlo" w:hAnsi="Menlo"/>
          <w:sz w:val="13"/>
          <w:szCs w:val="13"/>
        </w:rPr>
        <w:t xml:space="preserve">│  ├─ suppressions (channel-aware)       ├─ transactional-mail (processor) │</w:t>
      </w:r>
    </w:p>
    <w:p>
      <w:pPr>
        <w:shd w:fill="F7F8FA" w:color="auto" w:val="clear"/>
        <w:spacing w:after="0" w:before="0" w:line="200"/>
      </w:pPr>
      <w:r>
        <w:rPr>
          <w:rFonts w:ascii="Menlo" w:cs="Menlo" w:eastAsia="Menlo" w:hAnsi="Menlo"/>
          <w:sz w:val="13"/>
          <w:szCs w:val="13"/>
        </w:rPr>
        <w:t xml:space="preserve">│  ├─ users / audit / dashboard          └─ notifications / monitor        │</w:t>
      </w:r>
    </w:p>
    <w:p>
      <w:pPr>
        <w:shd w:fill="F7F8FA" w:color="auto" w:val="clear"/>
        <w:spacing w:after="0" w:before="0" w:line="200"/>
      </w:pPr>
      <w:r>
        <w:rPr>
          <w:rFonts w:ascii="Menlo" w:cs="Menlo" w:eastAsia="Menlo" w:hAnsi="Menlo"/>
          <w:sz w:val="13"/>
          <w:szCs w:val="13"/>
        </w:rPr>
        <w:t xml:space="preserve">└───────┬─────────────────────────────────────────┬────────────────────────┘</w:t>
      </w:r>
    </w:p>
    <w:p>
      <w:pPr>
        <w:shd w:fill="F7F8FA" w:color="auto" w:val="clear"/>
        <w:spacing w:after="0" w:before="0" w:line="200"/>
      </w:pPr>
      <w:r>
        <w:rPr>
          <w:rFonts w:ascii="Menlo" w:cs="Menlo" w:eastAsia="Menlo" w:hAnsi="Menlo"/>
          <w:sz w:val="13"/>
          <w:szCs w:val="13"/>
        </w:rPr>
        <w:t xml:space="preserve">        │ Prisma                                  │ enqueue</w:t>
      </w:r>
    </w:p>
    <w:p>
      <w:pPr>
        <w:shd w:fill="F7F8FA" w:color="auto" w:val="clear"/>
        <w:spacing w:after="0" w:before="0" w:line="200"/>
      </w:pPr>
      <w:r>
        <w:rPr>
          <w:rFonts w:ascii="Menlo" w:cs="Menlo" w:eastAsia="Menlo" w:hAnsi="Menlo"/>
          <w:sz w:val="13"/>
          <w:szCs w:val="13"/>
        </w:rPr>
        <w:t xml:space="preserve">        ▼                                         ▼</w:t>
      </w:r>
    </w:p>
    <w:p>
      <w:pPr>
        <w:shd w:fill="F7F8FA" w:color="auto" w:val="clear"/>
        <w:spacing w:after="0" w:before="0" w:line="200"/>
      </w:pPr>
      <w:r>
        <w:rPr>
          <w:rFonts w:ascii="Menlo" w:cs="Menlo" w:eastAsia="Menlo" w:hAnsi="Menlo"/>
          <w:sz w:val="13"/>
          <w:szCs w:val="13"/>
        </w:rPr>
        <w:t xml:space="preserve">┌────────────────────┐                 ┌──────────────────────┐</w:t>
      </w:r>
    </w:p>
    <w:p>
      <w:pPr>
        <w:shd w:fill="F7F8FA" w:color="auto" w:val="clear"/>
        <w:spacing w:after="0" w:before="0" w:line="200"/>
      </w:pPr>
      <w:r>
        <w:rPr>
          <w:rFonts w:ascii="Menlo" w:cs="Menlo" w:eastAsia="Menlo" w:hAnsi="Menlo"/>
          <w:sz w:val="13"/>
          <w:szCs w:val="13"/>
        </w:rPr>
        <w:t xml:space="preserve">│ PostgreSQL 18      │                 │ Azure Service Bus    │</w:t>
      </w:r>
    </w:p>
    <w:p>
      <w:pPr>
        <w:shd w:fill="F7F8FA" w:color="auto" w:val="clear"/>
        <w:spacing w:after="0" w:before="0" w:line="200"/>
      </w:pPr>
      <w:r>
        <w:rPr>
          <w:rFonts w:ascii="Menlo" w:cs="Menlo" w:eastAsia="Menlo" w:hAnsi="Menlo"/>
          <w:sz w:val="13"/>
          <w:szCs w:val="13"/>
        </w:rPr>
        <w:t xml:space="preserve">│ 34 models          │                 │ queue                │</w:t>
      </w:r>
    </w:p>
    <w:p>
      <w:pPr>
        <w:shd w:fill="F7F8FA" w:color="auto" w:val="clear"/>
        <w:spacing w:after="0" w:before="0" w:line="200"/>
      </w:pPr>
      <w:r>
        <w:rPr>
          <w:rFonts w:ascii="Menlo" w:cs="Menlo" w:eastAsia="Menlo" w:hAnsi="Menlo"/>
          <w:sz w:val="13"/>
          <w:szCs w:val="13"/>
        </w:rPr>
        <w:t xml:space="preserve">│ 66 migrations      │                 └──────────┬───────────┘</w:t>
      </w:r>
    </w:p>
    <w:p>
      <w:pPr>
        <w:shd w:fill="F7F8FA" w:color="auto" w:val="clear"/>
        <w:spacing w:after="0" w:before="0" w:line="200"/>
      </w:pPr>
      <w:r>
        <w:rPr>
          <w:rFonts w:ascii="Menlo" w:cs="Menlo" w:eastAsia="Menlo" w:hAnsi="Menlo"/>
          <w:sz w:val="13"/>
          <w:szCs w:val="13"/>
        </w:rPr>
        <w:t xml:space="preserve">└────────────────────┘                            │ consume</w:t>
      </w:r>
    </w:p>
    <w:p>
      <w:pPr>
        <w:shd w:fill="F7F8FA" w:color="auto" w:val="clear"/>
        <w:spacing w:after="0" w:before="0" w:line="200"/>
      </w:pPr>
      <w:r>
        <w:rPr>
          <w:rFonts w:ascii="Menlo" w:cs="Menlo" w:eastAsia="Menlo" w:hAnsi="Menlo"/>
          <w:sz w:val="13"/>
          <w:szCs w:val="13"/>
        </w:rPr>
        <w:t xml:space="preserve">        ▲                                         ▼</w:t>
      </w:r>
    </w:p>
    <w:p>
      <w:pPr>
        <w:shd w:fill="F7F8FA" w:color="auto" w:val="clear"/>
        <w:spacing w:after="0" w:before="0" w:line="200"/>
      </w:pPr>
      <w:r>
        <w:rPr>
          <w:rFonts w:ascii="Menlo" w:cs="Menlo" w:eastAsia="Menlo" w:hAnsi="Menlo"/>
          <w:sz w:val="13"/>
          <w:szCs w:val="13"/>
        </w:rPr>
        <w:t xml:space="preserve">        │ reconcile                   ┌───────────────────────────────┐</w:t>
      </w:r>
    </w:p>
    <w:p>
      <w:pPr>
        <w:shd w:fill="F7F8FA" w:color="auto" w:val="clear"/>
        <w:spacing w:after="0" w:before="0" w:line="200"/>
      </w:pPr>
      <w:r>
        <w:rPr>
          <w:rFonts w:ascii="Menlo" w:cs="Menlo" w:eastAsia="Menlo" w:hAnsi="Menlo"/>
          <w:sz w:val="13"/>
          <w:szCs w:val="13"/>
        </w:rPr>
        <w:t xml:space="preserve">        │                             │ Provider adapters (5 live)    │</w:t>
      </w:r>
    </w:p>
    <w:p>
      <w:pPr>
        <w:shd w:fill="F7F8FA" w:color="auto" w:val="clear"/>
        <w:spacing w:after="0" w:before="0" w:line="200"/>
      </w:pPr>
      <w:r>
        <w:rPr>
          <w:rFonts w:ascii="Menlo" w:cs="Menlo" w:eastAsia="Menlo" w:hAnsi="Menlo"/>
          <w:sz w:val="13"/>
          <w:szCs w:val="13"/>
        </w:rPr>
        <w:t xml:space="preserve">┌───────┴────────────┐                │ BrevoEmail · SMTP · CmSms     │</w:t>
      </w:r>
    </w:p>
    <w:p>
      <w:pPr>
        <w:shd w:fill="F7F8FA" w:color="auto" w:val="clear"/>
        <w:spacing w:after="0" w:before="0" w:line="200"/>
      </w:pPr>
      <w:r>
        <w:rPr>
          <w:rFonts w:ascii="Menlo" w:cs="Menlo" w:eastAsia="Menlo" w:hAnsi="Menlo"/>
          <w:sz w:val="13"/>
          <w:szCs w:val="13"/>
        </w:rPr>
        <w:t xml:space="preserve">│ Provider webhooks  │◀───────────────│ CmWhatsApp · ConsoleSms       │</w:t>
      </w:r>
    </w:p>
    <w:p>
      <w:pPr>
        <w:shd w:fill="F7F8FA" w:color="auto" w:val="clear"/>
        <w:spacing w:after="0" w:before="0" w:line="200"/>
      </w:pPr>
      <w:r>
        <w:rPr>
          <w:rFonts w:ascii="Menlo" w:cs="Menlo" w:eastAsia="Menlo" w:hAnsi="Menlo"/>
          <w:sz w:val="13"/>
          <w:szCs w:val="13"/>
        </w:rPr>
        <w:t xml:space="preserve">│ (Brevo, inbound)   │                └───────────────────────────────┘</w:t>
      </w:r>
    </w:p>
    <w:p>
      <w:pPr>
        <w:shd w:fill="F7F8FA" w:color="auto" w:val="clear"/>
        <w:spacing w:after="0" w:before="0" w:line="200"/>
      </w:pPr>
      <w:r>
        <w:rPr>
          <w:rFonts w:ascii="Menlo" w:cs="Menlo" w:eastAsia="Menlo" w:hAnsi="Menlo"/>
          <w:sz w:val="13"/>
          <w:szCs w:val="13"/>
        </w:rPr>
        <w:t xml:space="preserve">└────────────────────┘</w:t>
      </w:r>
    </w:p>
    <w:p>
      <w:pPr>
        <w:shd w:fill="F7F8FA" w:color="auto" w:val="clear"/>
        <w:spacing w:after="0" w:before="0" w:line="200"/>
      </w:pPr>
      <w:r>
        <w:rPr>
          <w:rFonts w:ascii="Menlo" w:cs="Menlo" w:eastAsia="Menlo" w:hAnsi="Menlo"/>
          <w:sz w:val="13"/>
          <w:szCs w:val="13"/>
        </w:rPr>
        <w:t xml:space="preserve">                              ┌──────────────────────┐</w:t>
      </w:r>
    </w:p>
    <w:p>
      <w:pPr>
        <w:shd w:fill="F7F8FA" w:color="auto" w:val="clear"/>
        <w:spacing w:after="0" w:before="0" w:line="200"/>
      </w:pPr>
      <w:r>
        <w:rPr>
          <w:rFonts w:ascii="Menlo" w:cs="Menlo" w:eastAsia="Menlo" w:hAnsi="Menlo"/>
          <w:sz w:val="13"/>
          <w:szCs w:val="13"/>
        </w:rPr>
        <w:t xml:space="preserve">                              │ Azure Blob Storage   │</w:t>
      </w:r>
    </w:p>
    <w:p>
      <w:pPr>
        <w:shd w:fill="F7F8FA" w:color="auto" w:val="clear"/>
        <w:spacing w:after="0" w:before="0" w:line="200"/>
      </w:pPr>
      <w:r>
        <w:rPr>
          <w:rFonts w:ascii="Menlo" w:cs="Menlo" w:eastAsia="Menlo" w:hAnsi="Menlo"/>
          <w:sz w:val="13"/>
          <w:szCs w:val="13"/>
        </w:rPr>
        <w:t xml:space="preserve">                              │ attachments/exports  │</w:t>
      </w:r>
    </w:p>
    <w:p>
      <w:pPr>
        <w:shd w:fill="F7F8FA" w:color="auto" w:val="clear"/>
        <w:spacing w:after="0" w:before="0" w:line="200"/>
      </w:pPr>
      <w:r>
        <w:rPr>
          <w:rFonts w:ascii="Menlo" w:cs="Menlo" w:eastAsia="Menlo" w:hAnsi="Menlo"/>
          <w:sz w:val="13"/>
          <w:szCs w:val="13"/>
        </w:rPr>
        <w:t xml:space="preserve">                              └──────────────────────┘</w:t>
      </w:r>
    </w:p>
    <w:p>
      <w:pPr>
        <w:shd w:fill="F7F8FA" w:color="auto" w:val="clear"/>
        <w:spacing w:after="0" w:before="0" w:line="200"/>
      </w:pPr>
      <w:r>
        <w:rPr>
          <w:rFonts w:ascii="Menlo" w:cs="Menlo" w:eastAsia="Menlo" w:hAnsi="Menlo"/>
          <w:sz w:val="13"/>
          <w:szCs w:val="13"/>
        </w:rPr>
        <w:t xml:space="preserve">                              ┌──────────────────────┐</w:t>
      </w:r>
    </w:p>
    <w:p>
      <w:pPr>
        <w:shd w:fill="F7F8FA" w:color="auto" w:val="clear"/>
        <w:spacing w:after="0" w:before="0" w:line="200"/>
      </w:pPr>
      <w:r>
        <w:rPr>
          <w:rFonts w:ascii="Menlo" w:cs="Menlo" w:eastAsia="Menlo" w:hAnsi="Menlo"/>
          <w:sz w:val="13"/>
          <w:szCs w:val="13"/>
        </w:rPr>
        <w:t xml:space="preserve">                              │ Preset SQL source DB │</w:t>
      </w:r>
    </w:p>
    <w:p>
      <w:pPr>
        <w:shd w:fill="F7F8FA" w:color="auto" w:val="clear"/>
        <w:spacing w:after="0" w:before="0" w:line="200"/>
      </w:pPr>
      <w:r>
        <w:rPr>
          <w:rFonts w:ascii="Menlo" w:cs="Menlo" w:eastAsia="Menlo" w:hAnsi="Menlo"/>
          <w:sz w:val="13"/>
          <w:szCs w:val="13"/>
        </w:rPr>
        <w:t xml:space="preserve">                              │ (read, polled)       │</w:t>
      </w:r>
    </w:p>
    <w:p>
      <w:pPr>
        <w:shd w:fill="F7F8FA" w:color="auto" w:val="clear"/>
        <w:spacing w:after="0" w:before="0" w:line="200"/>
      </w:pPr>
      <w:r>
        <w:rPr>
          <w:rFonts w:ascii="Menlo" w:cs="Menlo" w:eastAsia="Menlo" w:hAnsi="Menlo"/>
          <w:sz w:val="13"/>
          <w:szCs w:val="13"/>
        </w:rPr>
        <w:t xml:space="preserve">                              └──────────────────────┘</w:t>
      </w:r>
    </w:p>
    <w:p>
      <w:pPr>
        <w:spacing w:after="160"/>
      </w:pPr>
    </w:p>
    <w:p>
      <w:pPr>
        <w:spacing w:after="140" w:before="60" w:line="276"/>
      </w:pPr>
      <w:r>
        <w:rPr>
          <w:i/>
          <w:iCs/>
          <w:sz w:val="20"/>
          <w:szCs w:val="20"/>
        </w:rPr>
        <w:t xml:space="preserve">(VERIFIED — module tree, `main.ts`, Prisma schema, CI workflows, env var names, production `provider` column)</w:t>
      </w:r>
    </w:p>
    <w:p>
      <w:pPr>
        <w:spacing w:after="140" w:before="60" w:line="276"/>
      </w:pPr>
      <w:r>
        <w:rPr>
          <w:b/>
          <w:bCs/>
          <w:sz w:val="20"/>
          <w:szCs w:val="20"/>
        </w:rPr>
        <w:t xml:space="preserve">Deployment:</w:t>
      </w:r>
      <w:r>
        <w:rPr>
          <w:sz w:val="20"/>
          <w:szCs w:val="20"/>
        </w:rPr>
        <w:t xml:space="preserve"> backend builds a Docker image pushed to Azure Container Registry and deployed to an Azure Web App; frontend deploys to Azure Static Web Apps. Both via GitHub Actions. </w:t>
      </w:r>
      <w:r>
        <w:rPr>
          <w:i/>
          <w:iCs/>
          <w:sz w:val="20"/>
          <w:szCs w:val="20"/>
        </w:rPr>
        <w:t xml:space="preserve">(VERIFIED — `.github/workflows/`)</w:t>
      </w:r>
    </w:p>
    <w:p>
      <w:pPr>
        <w:spacing w:after="140" w:before="60" w:line="276"/>
      </w:pPr>
      <w:r>
        <w:rPr>
          <w:b/>
          <w:bCs/>
          <w:sz w:val="20"/>
          <w:szCs w:val="20"/>
        </w:rPr>
        <w:t xml:space="preserve">Authentication:</w:t>
      </w:r>
      <w:r>
        <w:rPr>
          <w:sz w:val="20"/>
          <w:szCs w:val="20"/>
        </w:rPr>
        <w:t xml:space="preserve"> Google Identity Services / OIDC, invite-only, Workspace-domain enforced, tokens verified server-side. Authorisation is enforced by </w:t>
      </w:r>
      <w:r>
        <w:rPr>
          <w:rFonts w:ascii="Consolas" w:cs="Consolas" w:eastAsia="Consolas" w:hAnsi="Consolas"/>
          <w:sz w:val="18"/>
          <w:szCs w:val="18"/>
        </w:rPr>
        <w:t xml:space="preserve">SessionAuthGuard</w:t>
      </w:r>
      <w:r>
        <w:rPr>
          <w:sz w:val="20"/>
          <w:szCs w:val="20"/>
        </w:rPr>
        <w:t xml:space="preserve"> and </w:t>
      </w:r>
      <w:r>
        <w:rPr>
          <w:rFonts w:ascii="Consolas" w:cs="Consolas" w:eastAsia="Consolas" w:hAnsi="Consolas"/>
          <w:sz w:val="18"/>
          <w:szCs w:val="18"/>
        </w:rPr>
        <w:t xml:space="preserve">RolesGuard</w:t>
      </w:r>
      <w:r>
        <w:rPr>
          <w:sz w:val="20"/>
          <w:szCs w:val="20"/>
        </w:rPr>
        <w:t xml:space="preserve">, never in the UI alone. </w:t>
      </w:r>
      <w:r>
        <w:rPr>
          <w:i/>
          <w:iCs/>
          <w:sz w:val="20"/>
          <w:szCs w:val="20"/>
        </w:rPr>
        <w:t xml:space="preserve">(VERIFIED — `src/common/guards/`, `AGENTS.md`)</w:t>
      </w:r>
    </w:p>
    <w:p>
      <w:pPr>
        <w:pStyle w:val="Heading1"/>
        <w:pBdr>
          <w:bottom w:val="single" w:color="BFBFBF" w:sz="6" w:space="6"/>
        </w:pBdr>
        <w:spacing w:after="160" w:before="360"/>
      </w:pPr>
      <w:r>
        <w:rPr>
          <w:b/>
          <w:bCs/>
          <w:color w:val="1F3864"/>
          <w:sz w:val="28"/>
          <w:szCs w:val="28"/>
        </w:rPr>
        <w:t xml:space="preserve">6. Main Workflows</w:t>
      </w:r>
    </w:p>
    <w:p>
      <w:pPr>
        <w:spacing w:after="140" w:before="60" w:line="276"/>
      </w:pPr>
      <w:r>
        <w:rPr>
          <w:b/>
          <w:bCs/>
          <w:sz w:val="20"/>
          <w:szCs w:val="20"/>
        </w:rPr>
        <w:t xml:space="preserve">Campaign lifecycle.</w:t>
      </w:r>
      <w:r>
        <w:rPr>
          <w:sz w:val="20"/>
          <w:szCs w:val="20"/>
        </w:rPr>
        <w:t xml:space="preserve"> Draft → submit for review (named Admin reviewer) → approve/reject → live. Approval is backend-enforced; it is not a UI affordance. Production shows 128 campaign submissions → 124 approvals, 1 rejection, 3 withdrawals; and 92 template-version submissions → 82 approvals, 2 rejections. </w:t>
      </w:r>
      <w:r>
        <w:rPr>
          <w:i/>
          <w:iCs/>
          <w:sz w:val="20"/>
          <w:szCs w:val="20"/>
        </w:rPr>
        <w:t xml:space="preserve">(VERIFIED — `AuditLog`)</w:t>
      </w:r>
    </w:p>
    <w:p>
      <w:pPr>
        <w:spacing w:after="140" w:before="60" w:line="276"/>
      </w:pPr>
      <w:r>
        <w:rPr>
          <w:b/>
          <w:bCs/>
          <w:sz w:val="20"/>
          <w:szCs w:val="20"/>
        </w:rPr>
        <w:t xml:space="preserve">Execution.</w:t>
      </w:r>
      <w:r>
        <w:rPr>
          <w:sz w:val="20"/>
          <w:szCs w:val="20"/>
        </w:rPr>
        <w:t xml:space="preserve"> An approved campaign is </w:t>
      </w:r>
      <w:r>
        <w:rPr>
          <w:i/>
          <w:iCs/>
          <w:sz w:val="20"/>
          <w:szCs w:val="20"/>
        </w:rPr>
        <w:t xml:space="preserve">frozen</w:t>
      </w:r>
      <w:r>
        <w:rPr>
          <w:sz w:val="20"/>
          <w:szCs w:val="20"/>
        </w:rPr>
        <w:t xml:space="preserve"> into a </w:t>
      </w:r>
      <w:r>
        <w:rPr>
          <w:rFonts w:ascii="Consolas" w:cs="Consolas" w:eastAsia="Consolas" w:hAnsi="Consolas"/>
          <w:sz w:val="18"/>
          <w:szCs w:val="18"/>
        </w:rPr>
        <w:t xml:space="preserve">CampaignExecutionRun</w:t>
      </w:r>
      <w:r>
        <w:rPr>
          <w:sz w:val="20"/>
          <w:szCs w:val="20"/>
        </w:rPr>
        <w:t xml:space="preserve"> that snapshots channel bindings, template versions, approval state and audience metadata. Each eligible recipient becomes a durable </w:t>
      </w:r>
      <w:r>
        <w:rPr>
          <w:rFonts w:ascii="Consolas" w:cs="Consolas" w:eastAsia="Consolas" w:hAnsi="Consolas"/>
          <w:sz w:val="18"/>
          <w:szCs w:val="18"/>
        </w:rPr>
        <w:t xml:space="preserve">CampaignExecutionRecipient</w:t>
      </w:r>
      <w:r>
        <w:rPr>
          <w:sz w:val="20"/>
          <w:szCs w:val="20"/>
        </w:rPr>
        <w:t xml:space="preserve"> holding the rendered subject/body and variable values at that moment. Recipients are handed to Azure Service Bus; a processor consumes them and calls the provider adapter. A browser request never sends. </w:t>
      </w:r>
      <w:r>
        <w:rPr>
          <w:i/>
          <w:iCs/>
          <w:sz w:val="20"/>
          <w:szCs w:val="20"/>
        </w:rPr>
        <w:t xml:space="preserve">(VERIFIED — `docs/execution-plane-foundation.md`, schema, 85,619 recipient rows)</w:t>
      </w:r>
    </w:p>
    <w:p>
      <w:pPr>
        <w:spacing w:after="140" w:before="60" w:line="276"/>
      </w:pPr>
      <w:r>
        <w:rPr>
          <w:b/>
          <w:bCs/>
          <w:sz w:val="20"/>
          <w:szCs w:val="20"/>
        </w:rPr>
        <w:t xml:space="preserve">Audience sourcing.</w:t>
      </w:r>
      <w:r>
        <w:rPr>
          <w:sz w:val="20"/>
          <w:szCs w:val="20"/>
        </w:rPr>
        <w:t xml:space="preserve"> Either an uploaded CSV or a "preset SQL flow" that polls an external source database on an interval, dedupes rows, and creates recipients. 13 distinct flow keys are live. </w:t>
      </w:r>
      <w:r>
        <w:rPr>
          <w:i/>
          <w:iCs/>
          <w:sz w:val="20"/>
          <w:szCs w:val="20"/>
        </w:rPr>
        <w:t xml:space="preserve">(VERIFIED)</w:t>
      </w:r>
    </w:p>
    <w:p>
      <w:pPr>
        <w:spacing w:after="140" w:before="60" w:line="276"/>
      </w:pPr>
      <w:r>
        <w:rPr>
          <w:b/>
          <w:bCs/>
          <w:sz w:val="20"/>
          <w:szCs w:val="20"/>
        </w:rPr>
        <w:t xml:space="preserve">Reconciliation.</w:t>
      </w:r>
      <w:r>
        <w:rPr>
          <w:sz w:val="20"/>
          <w:szCs w:val="20"/>
        </w:rPr>
        <w:t xml:space="preserve"> Provider webhooks feed </w:t>
      </w:r>
      <w:r>
        <w:rPr>
          <w:rFonts w:ascii="Consolas" w:cs="Consolas" w:eastAsia="Consolas" w:hAnsi="Consolas"/>
          <w:sz w:val="18"/>
          <w:szCs w:val="18"/>
        </w:rPr>
        <w:t xml:space="preserve">CampaignExecutionEvent</w:t>
      </w:r>
      <w:r>
        <w:rPr>
          <w:sz w:val="20"/>
          <w:szCs w:val="20"/>
        </w:rPr>
        <w:t xml:space="preserve"> — 212,492 rows covering accepted/delivered/opened/clicked/bounced/deferred/blocked — reconciling true delivery outcomes back against the platform's own execution state. </w:t>
      </w:r>
      <w:r>
        <w:rPr>
          <w:i/>
          <w:iCs/>
          <w:sz w:val="20"/>
          <w:szCs w:val="20"/>
        </w:rPr>
        <w:t xml:space="preserve">(VERIFIED)</w:t>
      </w:r>
    </w:p>
    <w:p>
      <w:pPr>
        <w:spacing w:after="140" w:before="60" w:line="276"/>
      </w:pPr>
      <w:r>
        <w:rPr>
          <w:b/>
          <w:bCs/>
          <w:sz w:val="20"/>
          <w:szCs w:val="20"/>
        </w:rPr>
        <w:t xml:space="preserve">External Service Comms.</w:t>
      </w:r>
      <w:r>
        <w:rPr>
          <w:sz w:val="20"/>
          <w:szCs w:val="20"/>
        </w:rPr>
        <w:t xml:space="preserve"> A separately governed API surface (</w:t>
      </w:r>
      <w:r>
        <w:rPr>
          <w:rFonts w:ascii="Consolas" w:cs="Consolas" w:eastAsia="Consolas" w:hAnsi="Consolas"/>
          <w:sz w:val="18"/>
          <w:szCs w:val="18"/>
        </w:rPr>
        <w:t xml:space="preserve">/mail</w:t>
      </w:r>
      <w:r>
        <w:rPr>
          <w:sz w:val="20"/>
          <w:szCs w:val="20"/>
        </w:rPr>
        <w:t xml:space="preserve">, </w:t>
      </w:r>
      <w:r>
        <w:rPr>
          <w:rFonts w:ascii="Consolas" w:cs="Consolas" w:eastAsia="Consolas" w:hAnsi="Consolas"/>
          <w:sz w:val="18"/>
          <w:szCs w:val="18"/>
        </w:rPr>
        <w:t xml:space="preserve">/sms</w:t>
      </w:r>
      <w:r>
        <w:rPr>
          <w:sz w:val="20"/>
          <w:szCs w:val="20"/>
        </w:rPr>
        <w:t xml:space="preserve">, </w:t>
      </w:r>
      <w:r>
        <w:rPr>
          <w:rFonts w:ascii="Consolas" w:cs="Consolas" w:eastAsia="Consolas" w:hAnsi="Consolas"/>
          <w:sz w:val="18"/>
          <w:szCs w:val="18"/>
        </w:rPr>
        <w:t xml:space="preserve">/whatsapp</w:t>
      </w:r>
      <w:r>
        <w:rPr>
          <w:sz w:val="20"/>
          <w:szCs w:val="20"/>
        </w:rPr>
        <w:t xml:space="preserve">) letting other internal systems send through UCP under per-client API keys and rate limits, with threaded reply handling. </w:t>
      </w:r>
      <w:r>
        <w:rPr>
          <w:rFonts w:ascii="Consolas" w:cs="Consolas" w:eastAsia="Consolas" w:hAnsi="Consolas"/>
          <w:sz w:val="18"/>
          <w:szCs w:val="18"/>
        </w:rPr>
        <w:t xml:space="preserve">POST /api/mail</w:t>
      </w:r>
      <w:r>
        <w:rPr>
          <w:sz w:val="20"/>
          <w:szCs w:val="20"/>
        </w:rPr>
        <w:t xml:space="preserve"> deliberately preserves the legacy </w:t>
      </w:r>
      <w:r>
        <w:rPr>
          <w:rFonts w:ascii="Consolas" w:cs="Consolas" w:eastAsia="Consolas" w:hAnsi="Consolas"/>
          <w:sz w:val="18"/>
          <w:szCs w:val="18"/>
        </w:rPr>
        <w:t xml:space="preserve">iros-mail</w:t>
      </w:r>
      <w:r>
        <w:rPr>
          <w:sz w:val="20"/>
          <w:szCs w:val="20"/>
        </w:rPr>
        <w:t xml:space="preserve"> request contract — same bearer-key auth, same field names (</w:t>
      </w:r>
      <w:r>
        <w:rPr>
          <w:rFonts w:ascii="Consolas" w:cs="Consolas" w:eastAsia="Consolas" w:hAnsi="Consolas"/>
          <w:sz w:val="18"/>
          <w:szCs w:val="18"/>
        </w:rPr>
        <w:t xml:space="preserve">sender</w:t>
      </w:r>
      <w:r>
        <w:rPr>
          <w:sz w:val="20"/>
          <w:szCs w:val="20"/>
        </w:rPr>
        <w:t xml:space="preserve">, </w:t>
      </w:r>
      <w:r>
        <w:rPr>
          <w:rFonts w:ascii="Consolas" w:cs="Consolas" w:eastAsia="Consolas" w:hAnsi="Consolas"/>
          <w:sz w:val="18"/>
          <w:szCs w:val="18"/>
        </w:rPr>
        <w:t xml:space="preserve">from</w:t>
      </w:r>
      <w:r>
        <w:rPr>
          <w:sz w:val="20"/>
          <w:szCs w:val="20"/>
        </w:rPr>
        <w:t xml:space="preserve">, </w:t>
      </w:r>
      <w:r>
        <w:rPr>
          <w:rFonts w:ascii="Consolas" w:cs="Consolas" w:eastAsia="Consolas" w:hAnsi="Consolas"/>
          <w:sz w:val="18"/>
          <w:szCs w:val="18"/>
        </w:rPr>
        <w:t xml:space="preserve">to</w:t>
      </w:r>
      <w:r>
        <w:rPr>
          <w:sz w:val="20"/>
          <w:szCs w:val="20"/>
        </w:rPr>
        <w:t xml:space="preserve">, </w:t>
      </w:r>
      <w:r>
        <w:rPr>
          <w:rFonts w:ascii="Consolas" w:cs="Consolas" w:eastAsia="Consolas" w:hAnsi="Consolas"/>
          <w:sz w:val="18"/>
          <w:szCs w:val="18"/>
        </w:rPr>
        <w:t xml:space="preserve">bcc</w:t>
      </w:r>
      <w:r>
        <w:rPr>
          <w:sz w:val="20"/>
          <w:szCs w:val="20"/>
        </w:rPr>
        <w:t xml:space="preserve">, </w:t>
      </w:r>
      <w:r>
        <w:rPr>
          <w:rFonts w:ascii="Consolas" w:cs="Consolas" w:eastAsia="Consolas" w:hAnsi="Consolas"/>
          <w:sz w:val="18"/>
          <w:szCs w:val="18"/>
        </w:rPr>
        <w:t xml:space="preserve">subject</w:t>
      </w:r>
      <w:r>
        <w:rPr>
          <w:sz w:val="20"/>
          <w:szCs w:val="20"/>
        </w:rPr>
        <w:t xml:space="preserve">, </w:t>
      </w:r>
      <w:r>
        <w:rPr>
          <w:rFonts w:ascii="Consolas" w:cs="Consolas" w:eastAsia="Consolas" w:hAnsi="Consolas"/>
          <w:sz w:val="18"/>
          <w:szCs w:val="18"/>
        </w:rPr>
        <w:t xml:space="preserve">mjml</w:t>
      </w:r>
      <w:r>
        <w:rPr>
          <w:sz w:val="20"/>
          <w:szCs w:val="20"/>
        </w:rPr>
        <w:t xml:space="preserve">, </w:t>
      </w:r>
      <w:r>
        <w:rPr>
          <w:rFonts w:ascii="Consolas" w:cs="Consolas" w:eastAsia="Consolas" w:hAnsi="Consolas"/>
          <w:sz w:val="18"/>
          <w:szCs w:val="18"/>
        </w:rPr>
        <w:t xml:space="preserve">html</w:t>
      </w:r>
      <w:r>
        <w:rPr>
          <w:sz w:val="20"/>
          <w:szCs w:val="20"/>
        </w:rPr>
        <w:t xml:space="preserve">, </w:t>
      </w:r>
      <w:r>
        <w:rPr>
          <w:rFonts w:ascii="Consolas" w:cs="Consolas" w:eastAsia="Consolas" w:hAnsi="Consolas"/>
          <w:sz w:val="18"/>
          <w:szCs w:val="18"/>
        </w:rPr>
        <w:t xml:space="preserve">text</w:t>
      </w:r>
      <w:r>
        <w:rPr>
          <w:sz w:val="20"/>
          <w:szCs w:val="20"/>
        </w:rPr>
        <w:t xml:space="preserve">, </w:t>
      </w:r>
      <w:r>
        <w:rPr>
          <w:rFonts w:ascii="Consolas" w:cs="Consolas" w:eastAsia="Consolas" w:hAnsi="Consolas"/>
          <w:sz w:val="18"/>
          <w:szCs w:val="18"/>
        </w:rPr>
        <w:t xml:space="preserve">template</w:t>
      </w:r>
      <w:r>
        <w:rPr>
          <w:sz w:val="20"/>
          <w:szCs w:val="20"/>
        </w:rPr>
        <w:t xml:space="preserve">, </w:t>
      </w:r>
      <w:r>
        <w:rPr>
          <w:rFonts w:ascii="Consolas" w:cs="Consolas" w:eastAsia="Consolas" w:hAnsi="Consolas"/>
          <w:sz w:val="18"/>
          <w:szCs w:val="18"/>
        </w:rPr>
        <w:t xml:space="preserve">attachment</w:t>
      </w:r>
      <w:r>
        <w:rPr>
          <w:sz w:val="20"/>
          <w:szCs w:val="20"/>
        </w:rPr>
        <w:t xml:space="preserve">, </w:t>
      </w:r>
      <w:r>
        <w:rPr>
          <w:rFonts w:ascii="Consolas" w:cs="Consolas" w:eastAsia="Consolas" w:hAnsi="Consolas"/>
          <w:sz w:val="18"/>
          <w:szCs w:val="18"/>
        </w:rPr>
        <w:t xml:space="preserve">processAt</w:t>
      </w:r>
      <w:r>
        <w:rPr>
          <w:sz w:val="20"/>
          <w:szCs w:val="20"/>
        </w:rPr>
        <w:t xml:space="preserve">) — so existing callers could repoint rather than rewrite. </w:t>
      </w:r>
      <w:r>
        <w:rPr>
          <w:i/>
          <w:iCs/>
          <w:sz w:val="20"/>
          <w:szCs w:val="20"/>
        </w:rPr>
        <w:t xml:space="preserve">(VERIFIED — `docs/transactional-mail-compatibility.md`)</w:t>
      </w:r>
    </w:p>
    <w:p>
      <w:pPr>
        <w:spacing w:after="140" w:before="60" w:line="276"/>
      </w:pPr>
      <w:r>
        <w:rPr>
          <w:b/>
          <w:bCs/>
          <w:sz w:val="20"/>
          <w:szCs w:val="20"/>
        </w:rPr>
        <w:t xml:space="preserve">Per-customer communication history.</w:t>
      </w:r>
      <w:r>
        <w:rPr>
          <w:sz w:val="20"/>
          <w:szCs w:val="20"/>
        </w:rPr>
        <w:t xml:space="preserve"> </w:t>
      </w:r>
      <w:r>
        <w:rPr>
          <w:rFonts w:ascii="Consolas" w:cs="Consolas" w:eastAsia="Consolas" w:hAnsi="Consolas"/>
          <w:sz w:val="18"/>
          <w:szCs w:val="18"/>
        </w:rPr>
        <w:t xml:space="preserve">GET /customer-communications</w:t>
      </w:r>
      <w:r>
        <w:rPr>
          <w:sz w:val="20"/>
          <w:szCs w:val="20"/>
        </w:rPr>
        <w:t xml:space="preserve"> answers "what have we sent this customer?" with a </w:t>
      </w:r>
      <w:r>
        <w:rPr>
          <w:rFonts w:ascii="Consolas" w:cs="Consolas" w:eastAsia="Consolas" w:hAnsi="Consolas"/>
          <w:sz w:val="18"/>
          <w:szCs w:val="18"/>
        </w:rPr>
        <w:t xml:space="preserve">UNION ALL</w:t>
      </w:r>
      <w:r>
        <w:rPr>
          <w:sz w:val="20"/>
          <w:szCs w:val="20"/>
        </w:rPr>
        <w:t xml:space="preserve"> across campaign execution recipients and external-service emails, so both routes into the platform surface in one timeline. </w:t>
      </w:r>
      <w:r>
        <w:rPr>
          <w:i/>
          <w:iCs/>
          <w:sz w:val="20"/>
          <w:szCs w:val="20"/>
        </w:rPr>
        <w:t xml:space="preserve">(VERIFIED — service SQL)</w:t>
      </w:r>
    </w:p>
    <w:p>
      <w:pPr>
        <w:spacing w:after="140" w:before="60" w:line="276"/>
      </w:pPr>
      <w:r>
        <w:rPr>
          <w:b/>
          <w:bCs/>
          <w:sz w:val="20"/>
          <w:szCs w:val="20"/>
        </w:rPr>
        <w:t xml:space="preserve">Legacy cutover.</w:t>
      </w:r>
      <w:r>
        <w:rPr>
          <w:sz w:val="20"/>
          <w:szCs w:val="20"/>
        </w:rPr>
        <w:t xml:space="preserve"> Eleven Apps Script flows are implemented as UCP preset-flow adapters, including </w:t>
      </w:r>
      <w:r>
        <w:rPr>
          <w:rFonts w:ascii="Consolas" w:cs="Consolas" w:eastAsia="Consolas" w:hAnsi="Consolas"/>
          <w:sz w:val="18"/>
          <w:szCs w:val="18"/>
        </w:rPr>
        <w:t xml:space="preserve">os_payments_new</w:t>
      </w:r>
      <w:r>
        <w:rPr>
          <w:sz w:val="20"/>
          <w:szCs w:val="20"/>
        </w:rPr>
        <w:t xml:space="preserve">, </w:t>
      </w:r>
      <w:r>
        <w:rPr>
          <w:rFonts w:ascii="Consolas" w:cs="Consolas" w:eastAsia="Consolas" w:hAnsi="Consolas"/>
          <w:sz w:val="18"/>
          <w:szCs w:val="18"/>
        </w:rPr>
        <w:t xml:space="preserve">canc_chase</w:t>
      </w:r>
      <w:r>
        <w:rPr>
          <w:sz w:val="20"/>
          <w:szCs w:val="20"/>
        </w:rPr>
        <w:t xml:space="preserve">, </w:t>
      </w:r>
      <w:r>
        <w:rPr>
          <w:rFonts w:ascii="Consolas" w:cs="Consolas" w:eastAsia="Consolas" w:hAnsi="Consolas"/>
          <w:sz w:val="18"/>
          <w:szCs w:val="18"/>
        </w:rPr>
        <w:t xml:space="preserve">canc_acknow</w:t>
      </w:r>
      <w:r>
        <w:rPr>
          <w:sz w:val="20"/>
          <w:szCs w:val="20"/>
        </w:rPr>
        <w:t xml:space="preserve">, </w:t>
      </w:r>
      <w:r>
        <w:rPr>
          <w:rFonts w:ascii="Consolas" w:cs="Consolas" w:eastAsia="Consolas" w:hAnsi="Consolas"/>
          <w:sz w:val="18"/>
          <w:szCs w:val="18"/>
        </w:rPr>
        <w:t xml:space="preserve">renew_acknowledge</w:t>
      </w:r>
      <w:r>
        <w:rPr>
          <w:sz w:val="20"/>
          <w:szCs w:val="20"/>
        </w:rPr>
        <w:t xml:space="preserve">, </w:t>
      </w:r>
      <w:r>
        <w:rPr>
          <w:rFonts w:ascii="Consolas" w:cs="Consolas" w:eastAsia="Consolas" w:hAnsi="Consolas"/>
          <w:sz w:val="18"/>
          <w:szCs w:val="18"/>
        </w:rPr>
        <w:t xml:space="preserve">renw_nocontact</w:t>
      </w:r>
      <w:r>
        <w:rPr>
          <w:sz w:val="20"/>
          <w:szCs w:val="20"/>
        </w:rPr>
        <w:t xml:space="preserve">, </w:t>
      </w:r>
      <w:r>
        <w:rPr>
          <w:rFonts w:ascii="Consolas" w:cs="Consolas" w:eastAsia="Consolas" w:hAnsi="Consolas"/>
          <w:sz w:val="18"/>
          <w:szCs w:val="18"/>
        </w:rPr>
        <w:t xml:space="preserve">dreq</w:t>
      </w:r>
      <w:r>
        <w:rPr>
          <w:sz w:val="20"/>
          <w:szCs w:val="20"/>
        </w:rPr>
        <w:t xml:space="preserve">, </w:t>
      </w:r>
      <w:r>
        <w:rPr>
          <w:rFonts w:ascii="Consolas" w:cs="Consolas" w:eastAsia="Consolas" w:hAnsi="Consolas"/>
          <w:sz w:val="18"/>
          <w:szCs w:val="18"/>
        </w:rPr>
        <w:t xml:space="preserve">dreq_inception</w:t>
      </w:r>
      <w:r>
        <w:rPr>
          <w:sz w:val="20"/>
          <w:szCs w:val="20"/>
        </w:rPr>
        <w:t xml:space="preserve">, </w:t>
      </w:r>
      <w:r>
        <w:rPr>
          <w:rFonts w:ascii="Consolas" w:cs="Consolas" w:eastAsia="Consolas" w:hAnsi="Consolas"/>
          <w:sz w:val="18"/>
          <w:szCs w:val="18"/>
        </w:rPr>
        <w:t xml:space="preserve">ad_hoc_docs</w:t>
      </w:r>
      <w:r>
        <w:rPr>
          <w:sz w:val="20"/>
          <w:szCs w:val="20"/>
        </w:rPr>
        <w:t xml:space="preserve">, </w:t>
      </w:r>
      <w:r>
        <w:rPr>
          <w:rFonts w:ascii="Consolas" w:cs="Consolas" w:eastAsia="Consolas" w:hAnsi="Consolas"/>
          <w:sz w:val="18"/>
          <w:szCs w:val="18"/>
        </w:rPr>
        <w:t xml:space="preserve">rta7_emails</w:t>
      </w:r>
      <w:r>
        <w:rPr>
          <w:sz w:val="20"/>
          <w:szCs w:val="20"/>
        </w:rPr>
        <w:t xml:space="preserve">, </w:t>
      </w:r>
      <w:r>
        <w:rPr>
          <w:rFonts w:ascii="Consolas" w:cs="Consolas" w:eastAsia="Consolas" w:hAnsi="Consolas"/>
          <w:sz w:val="18"/>
          <w:szCs w:val="18"/>
        </w:rPr>
        <w:t xml:space="preserve">rta7_rmail</w:t>
      </w:r>
      <w:r>
        <w:rPr>
          <w:sz w:val="20"/>
          <w:szCs w:val="20"/>
        </w:rPr>
        <w:t xml:space="preserve"> and </w:t>
      </w:r>
      <w:r>
        <w:rPr>
          <w:rFonts w:ascii="Consolas" w:cs="Consolas" w:eastAsia="Consolas" w:hAnsi="Consolas"/>
          <w:sz w:val="18"/>
          <w:szCs w:val="18"/>
        </w:rPr>
        <w:t xml:space="preserve">renew_invite</w:t>
      </w:r>
      <w:r>
        <w:rPr>
          <w:sz w:val="20"/>
          <w:szCs w:val="20"/>
        </w:rPr>
        <w:t xml:space="preserve">. Eight further functions referenced by the legacy </w:t>
      </w:r>
      <w:r>
        <w:rPr>
          <w:rFonts w:ascii="Consolas" w:cs="Consolas" w:eastAsia="Consolas" w:hAnsi="Consolas"/>
          <w:sz w:val="18"/>
          <w:szCs w:val="18"/>
        </w:rPr>
        <w:t xml:space="preserve">code.gs</w:t>
      </w:r>
      <w:r>
        <w:rPr>
          <w:sz w:val="20"/>
          <w:szCs w:val="20"/>
        </w:rPr>
        <w:t xml:space="preserve"> have </w:t>
      </w:r>
      <w:r>
        <w:rPr>
          <w:b/>
          <w:bCs/>
          <w:sz w:val="20"/>
          <w:szCs w:val="20"/>
        </w:rPr>
        <w:t xml:space="preserve">no implementation present in the checked-in source</w:t>
      </w:r>
      <w:r>
        <w:rPr>
          <w:sz w:val="20"/>
          <w:szCs w:val="20"/>
        </w:rPr>
        <w:t xml:space="preserve"> and are explicitly tracked as a separate discovery track rather than assumed migrated. </w:t>
      </w:r>
      <w:r>
        <w:rPr>
          <w:i/>
          <w:iCs/>
          <w:sz w:val="20"/>
          <w:szCs w:val="20"/>
        </w:rPr>
        <w:t xml:space="preserve">(VERIFIED — `docs/legacy-script-cutover-plan.md`)</w:t>
      </w:r>
    </w:p>
    <w:p>
      <w:pPr>
        <w:pStyle w:val="Heading1"/>
        <w:pBdr>
          <w:bottom w:val="single" w:color="BFBFBF" w:sz="6" w:space="6"/>
        </w:pBdr>
        <w:spacing w:after="160" w:before="360"/>
      </w:pPr>
      <w:r>
        <w:rPr>
          <w:b/>
          <w:bCs/>
          <w:color w:val="1F3864"/>
          <w:sz w:val="28"/>
          <w:szCs w:val="28"/>
        </w:rPr>
        <w:t xml:space="preserve">7. Technology Stack</w:t>
      </w:r>
    </w:p>
    <w:p>
      <w:pPr>
        <w:spacing w:after="140" w:before="60" w:line="276"/>
      </w:pPr>
      <w:r>
        <w:rPr>
          <w:b/>
          <w:bCs/>
          <w:sz w:val="20"/>
          <w:szCs w:val="20"/>
        </w:rPr>
        <w:t xml:space="preserve">Backend:</w:t>
      </w:r>
      <w:r>
        <w:rPr>
          <w:sz w:val="20"/>
          <w:szCs w:val="20"/>
        </w:rPr>
        <w:t xml:space="preserve"> NestJS 11, TypeScript, Prisma 7 + PostgreSQL 18, </w:t>
      </w:r>
      <w:r>
        <w:rPr>
          <w:rFonts w:ascii="Consolas" w:cs="Consolas" w:eastAsia="Consolas" w:hAnsi="Consolas"/>
          <w:sz w:val="18"/>
          <w:szCs w:val="18"/>
        </w:rPr>
        <w:t xml:space="preserve">class-validator</w:t>
      </w:r>
      <w:r>
        <w:rPr>
          <w:sz w:val="20"/>
          <w:szCs w:val="20"/>
        </w:rPr>
        <w:t xml:space="preserve">, Swagger/OpenAPI, Luxon, Azure Service Bus SDK, Azure Blob Storage SDK, Jest.</w:t>
      </w:r>
    </w:p>
    <w:p>
      <w:pPr>
        <w:spacing w:after="140" w:before="60" w:line="276"/>
      </w:pPr>
      <w:r>
        <w:rPr>
          <w:b/>
          <w:bCs/>
          <w:sz w:val="20"/>
          <w:szCs w:val="20"/>
        </w:rPr>
        <w:t xml:space="preserve">Frontend:</w:t>
      </w:r>
      <w:r>
        <w:rPr>
          <w:sz w:val="20"/>
          <w:szCs w:val="20"/>
        </w:rPr>
        <w:t xml:space="preserve"> React 18, Vite, TypeScript, TailwindCSS, shadcn/ui + Radix, TanStack Query, React Router, Vitest + Testing Library.</w:t>
      </w:r>
    </w:p>
    <w:p>
      <w:pPr>
        <w:spacing w:after="140" w:before="60" w:line="276"/>
      </w:pPr>
      <w:r>
        <w:rPr>
          <w:b/>
          <w:bCs/>
          <w:sz w:val="20"/>
          <w:szCs w:val="20"/>
        </w:rPr>
        <w:t xml:space="preserve">Infrastructure:</w:t>
      </w:r>
      <w:r>
        <w:rPr>
          <w:sz w:val="20"/>
          <w:szCs w:val="20"/>
        </w:rPr>
        <w:t xml:space="preserve"> Azure Web App (container), Azure Container Registry, Azure Static Web Apps, Azure Service Bus, Azure Blob Storage, GitHub Actions.</w:t>
      </w:r>
    </w:p>
    <w:p>
      <w:pPr>
        <w:spacing w:after="140" w:before="60" w:line="276"/>
      </w:pPr>
      <w:r>
        <w:rPr>
          <w:b/>
          <w:bCs/>
          <w:sz w:val="20"/>
          <w:szCs w:val="20"/>
        </w:rPr>
        <w:t xml:space="preserve">Providers:</w:t>
      </w:r>
      <w:r>
        <w:rPr>
          <w:sz w:val="20"/>
          <w:szCs w:val="20"/>
        </w:rPr>
        <w:t xml:space="preserve"> Brevo (email + webhooks), SMTP, CM.com (SMS + WhatsApp), RMail-related reconciliation.</w:t>
      </w:r>
    </w:p>
    <w:p>
      <w:pPr>
        <w:spacing w:after="140" w:before="60" w:line="276"/>
      </w:pPr>
      <w:r>
        <w:rPr>
          <w:b/>
          <w:bCs/>
          <w:sz w:val="20"/>
          <w:szCs w:val="20"/>
        </w:rPr>
        <w:t xml:space="preserve">Docs:</w:t>
      </w:r>
      <w:r>
        <w:rPr>
          <w:sz w:val="20"/>
          <w:szCs w:val="20"/>
        </w:rPr>
        <w:t xml:space="preserve"> MkDocs (</w:t>
      </w:r>
      <w:r>
        <w:rPr>
          <w:rFonts w:ascii="Consolas" w:cs="Consolas" w:eastAsia="Consolas" w:hAnsi="Consolas"/>
          <w:sz w:val="18"/>
          <w:szCs w:val="18"/>
        </w:rPr>
        <w:t xml:space="preserve">--strict</w:t>
      </w:r>
      <w:r>
        <w:rPr>
          <w:sz w:val="20"/>
          <w:szCs w:val="20"/>
        </w:rPr>
        <w:t xml:space="preserve"> builds).</w:t>
      </w:r>
    </w:p>
    <w:p>
      <w:pPr>
        <w:pStyle w:val="Heading1"/>
        <w:pBdr>
          <w:bottom w:val="single" w:color="BFBFBF" w:sz="6" w:space="6"/>
        </w:pBdr>
        <w:spacing w:after="160" w:before="360"/>
      </w:pPr>
      <w:r>
        <w:rPr>
          <w:b/>
          <w:bCs/>
          <w:color w:val="1F3864"/>
          <w:sz w:val="28"/>
          <w:szCs w:val="28"/>
        </w:rPr>
        <w:t xml:space="preserve">8. Production Evidence and Statistical Analysis</w:t>
      </w:r>
    </w:p>
    <w:p>
      <w:pPr>
        <w:spacing w:after="140" w:before="60" w:line="276"/>
      </w:pPr>
      <w:r>
        <w:rPr>
          <w:sz w:val="20"/>
          <w:szCs w:val="20"/>
        </w:rPr>
        <w:t xml:space="preserve">All figures below were obtained on 8 October 2026 through a PostgreSQL session with </w:t>
      </w:r>
      <w:r>
        <w:rPr>
          <w:rFonts w:ascii="Consolas" w:cs="Consolas" w:eastAsia="Consolas" w:hAnsi="Consolas"/>
          <w:sz w:val="18"/>
          <w:szCs w:val="18"/>
        </w:rPr>
        <w:t xml:space="preserve">default_transaction_read_only=on</w:t>
      </w:r>
      <w:r>
        <w:rPr>
          <w:sz w:val="20"/>
          <w:szCs w:val="20"/>
        </w:rPr>
        <w:t xml:space="preserve">. The guard was verified before querying: an attempted </w:t>
      </w:r>
      <w:r>
        <w:rPr>
          <w:rFonts w:ascii="Consolas" w:cs="Consolas" w:eastAsia="Consolas" w:hAnsi="Consolas"/>
          <w:sz w:val="18"/>
          <w:szCs w:val="18"/>
        </w:rPr>
        <w:t xml:space="preserve">CREATE TABLE</w:t>
      </w:r>
      <w:r>
        <w:rPr>
          <w:sz w:val="20"/>
          <w:szCs w:val="20"/>
        </w:rPr>
        <w:t xml:space="preserve"> was rejected with </w:t>
      </w:r>
      <w:r>
        <w:rPr>
          <w:rFonts w:ascii="Consolas" w:cs="Consolas" w:eastAsia="Consolas" w:hAnsi="Consolas"/>
          <w:sz w:val="18"/>
          <w:szCs w:val="18"/>
        </w:rPr>
        <w:t xml:space="preserve">cannot execute CREATE TABLE in a read-only transaction</w:t>
      </w:r>
      <w:r>
        <w:rPr>
          <w:sz w:val="20"/>
          <w:szCs w:val="20"/>
        </w:rPr>
        <w:t xml:space="preserve">. No write, DDL, or migration was executed. No personal data is reproduced here — every figure is an aggregate.</w:t>
      </w:r>
    </w:p>
    <w:p>
      <w:pPr>
        <w:pStyle w:val="Heading2"/>
        <w:spacing w:after="120" w:before="260"/>
      </w:pPr>
      <w:r>
        <w:rPr>
          <w:b/>
          <w:bCs/>
          <w:color w:val="1F3864"/>
          <w:sz w:val="23"/>
          <w:szCs w:val="23"/>
        </w:rPr>
        <w:t xml:space="preserve">8.1 Campaign message volume</w:t>
      </w:r>
    </w:p>
    <w:p>
      <w:pPr>
        <w:spacing w:after="140" w:before="60" w:line="276"/>
      </w:pPr>
      <w:r>
        <w:rPr>
          <w:b/>
          <w:bCs/>
          <w:sz w:val="20"/>
          <w:szCs w:val="20"/>
        </w:rPr>
        <w:t xml:space="preserve">85,482</w:t>
      </w:r>
      <w:r>
        <w:rPr>
          <w:sz w:val="20"/>
          <w:szCs w:val="20"/>
        </w:rPr>
        <w:t xml:space="preserve"> </w:t>
      </w:r>
      <w:r>
        <w:rPr>
          <w:rFonts w:ascii="Consolas" w:cs="Consolas" w:eastAsia="Consolas" w:hAnsi="Consolas"/>
          <w:sz w:val="18"/>
          <w:szCs w:val="18"/>
        </w:rPr>
        <w:t xml:space="preserve">CampaignExecutionRecipient</w:t>
      </w:r>
      <w:r>
        <w:rPr>
          <w:sz w:val="20"/>
          <w:szCs w:val="20"/>
        </w:rPr>
        <w:t xml:space="preserve"> rows have a non-null </w:t>
      </w:r>
      <w:r>
        <w:rPr>
          <w:rFonts w:ascii="Consolas" w:cs="Consolas" w:eastAsia="Consolas" w:hAnsi="Consolas"/>
          <w:sz w:val="18"/>
          <w:szCs w:val="18"/>
        </w:rPr>
        <w:t xml:space="preserve">sentAt</w:t>
      </w:r>
      <w:r>
        <w:rPr>
          <w:sz w:val="20"/>
          <w:szCs w:val="20"/>
        </w:rPr>
        <w:t xml:space="preserve">, between </w:t>
      </w:r>
      <w:r>
        <w:rPr>
          <w:b/>
          <w:bCs/>
          <w:sz w:val="20"/>
          <w:szCs w:val="20"/>
        </w:rPr>
        <w:t xml:space="preserve">26 June and 8 October 2026</w:t>
      </w:r>
      <w:r>
        <w:rPr>
          <w:sz w:val="20"/>
          <w:szCs w:val="20"/>
        </w:rPr>
        <w:t xml:space="preserve"> (105 distinct active sending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DF0F7" w:color="auto" w:val="clear"/>
            <w:tcMar>
              <w:top w:type="dxa" w:w="60"/>
              <w:left w:type="dxa" w:w="100"/>
              <w:bottom w:type="dxa" w:w="60"/>
              <w:right w:type="dxa" w:w="100"/>
            </w:tcMar>
          </w:tcPr>
          <w:p>
            <w:pPr>
              <w:spacing w:after="0" w:before="0"/>
            </w:pPr>
            <w:r>
              <w:rPr>
                <w:b/>
                <w:bCs/>
                <w:sz w:val="18"/>
                <w:szCs w:val="18"/>
              </w:rPr>
              <w:t xml:space="preserve">Channel</w:t>
            </w:r>
          </w:p>
        </w:tc>
        <w:tc>
          <w:tcPr>
            <w:tcW w:type="dxa" w:w="2256"/>
            <w:shd w:fill="EDF0F7" w:color="auto" w:val="clear"/>
            <w:tcMar>
              <w:top w:type="dxa" w:w="60"/>
              <w:left w:type="dxa" w:w="100"/>
              <w:bottom w:type="dxa" w:w="60"/>
              <w:right w:type="dxa" w:w="100"/>
            </w:tcMar>
          </w:tcPr>
          <w:p>
            <w:pPr>
              <w:spacing w:after="0" w:before="0"/>
            </w:pPr>
            <w:r>
              <w:rPr>
                <w:b/>
                <w:bCs/>
                <w:sz w:val="18"/>
                <w:szCs w:val="18"/>
              </w:rPr>
              <w:t xml:space="preserve">Rows</w:t>
            </w:r>
          </w:p>
        </w:tc>
        <w:tc>
          <w:tcPr>
            <w:tcW w:type="dxa" w:w="2256"/>
            <w:shd w:fill="EDF0F7" w:color="auto" w:val="clear"/>
            <w:tcMar>
              <w:top w:type="dxa" w:w="60"/>
              <w:left w:type="dxa" w:w="100"/>
              <w:bottom w:type="dxa" w:w="60"/>
              <w:right w:type="dxa" w:w="100"/>
            </w:tcMar>
          </w:tcPr>
          <w:p>
            <w:pPr>
              <w:spacing w:after="0" w:before="0"/>
            </w:pPr>
            <w:r>
              <w:rPr>
                <w:b/>
                <w:bCs/>
                <w:sz w:val="18"/>
                <w:szCs w:val="18"/>
              </w:rPr>
              <w:t xml:space="preserve">Failed/Bounced</w:t>
            </w:r>
          </w:p>
        </w:tc>
        <w:tc>
          <w:tcPr>
            <w:tcW w:type="dxa" w:w="2256"/>
            <w:shd w:fill="EDF0F7" w:color="auto" w:val="clear"/>
            <w:tcMar>
              <w:top w:type="dxa" w:w="60"/>
              <w:left w:type="dxa" w:w="100"/>
              <w:bottom w:type="dxa" w:w="60"/>
              <w:right w:type="dxa" w:w="100"/>
            </w:tcMar>
          </w:tcPr>
          <w:p>
            <w:pPr>
              <w:spacing w:after="0" w:before="0"/>
            </w:pPr>
            <w:r>
              <w:rPr>
                <w:b/>
                <w:bCs/>
                <w:sz w:val="18"/>
                <w:szCs w:val="18"/>
              </w:rPr>
              <w:t xml:space="preserve">Rate</w:t>
            </w:r>
          </w:p>
        </w:tc>
      </w:tr>
      <w:tr>
        <w:tc>
          <w:tcPr>
            <w:tcW w:type="dxa" w:w="2258"/>
            <w:tcMar>
              <w:top w:type="dxa" w:w="60"/>
              <w:left w:type="dxa" w:w="100"/>
              <w:bottom w:type="dxa" w:w="60"/>
              <w:right w:type="dxa" w:w="100"/>
            </w:tcMar>
          </w:tcPr>
          <w:p>
            <w:pPr>
              <w:spacing w:after="0" w:before="0"/>
            </w:pPr>
            <w:r>
              <w:rPr>
                <w:sz w:val="18"/>
                <w:szCs w:val="18"/>
              </w:rPr>
              <w:t xml:space="preserve">Email</w:t>
            </w:r>
          </w:p>
        </w:tc>
        <w:tc>
          <w:tcPr>
            <w:tcW w:type="dxa" w:w="2256"/>
            <w:tcMar>
              <w:top w:type="dxa" w:w="60"/>
              <w:left w:type="dxa" w:w="100"/>
              <w:bottom w:type="dxa" w:w="60"/>
              <w:right w:type="dxa" w:w="100"/>
            </w:tcMar>
          </w:tcPr>
          <w:p>
            <w:pPr>
              <w:spacing w:after="0" w:before="0"/>
            </w:pPr>
            <w:r>
              <w:rPr>
                <w:sz w:val="18"/>
                <w:szCs w:val="18"/>
              </w:rPr>
              <w:t xml:space="preserve">64,055</w:t>
            </w:r>
          </w:p>
        </w:tc>
        <w:tc>
          <w:tcPr>
            <w:tcW w:type="dxa" w:w="2256"/>
            <w:tcMar>
              <w:top w:type="dxa" w:w="60"/>
              <w:left w:type="dxa" w:w="100"/>
              <w:bottom w:type="dxa" w:w="60"/>
              <w:right w:type="dxa" w:w="100"/>
            </w:tcMar>
          </w:tcPr>
          <w:p>
            <w:pPr>
              <w:spacing w:after="0" w:before="0"/>
            </w:pPr>
            <w:r>
              <w:rPr>
                <w:sz w:val="18"/>
                <w:szCs w:val="18"/>
              </w:rPr>
              <w:t xml:space="preserve">683</w:t>
            </w:r>
          </w:p>
        </w:tc>
        <w:tc>
          <w:tcPr>
            <w:tcW w:type="dxa" w:w="2256"/>
            <w:tcMar>
              <w:top w:type="dxa" w:w="60"/>
              <w:left w:type="dxa" w:w="100"/>
              <w:bottom w:type="dxa" w:w="60"/>
              <w:right w:type="dxa" w:w="100"/>
            </w:tcMar>
          </w:tcPr>
          <w:p>
            <w:pPr>
              <w:spacing w:after="0" w:before="0"/>
            </w:pPr>
            <w:r>
              <w:rPr>
                <w:sz w:val="18"/>
                <w:szCs w:val="18"/>
              </w:rPr>
              <w:t xml:space="preserve">1.066%</w:t>
            </w:r>
          </w:p>
        </w:tc>
      </w:tr>
      <w:tr>
        <w:tc>
          <w:tcPr>
            <w:tcW w:type="dxa" w:w="2258"/>
            <w:tcMar>
              <w:top w:type="dxa" w:w="60"/>
              <w:left w:type="dxa" w:w="100"/>
              <w:bottom w:type="dxa" w:w="60"/>
              <w:right w:type="dxa" w:w="100"/>
            </w:tcMar>
          </w:tcPr>
          <w:p>
            <w:pPr>
              <w:spacing w:after="0" w:before="0"/>
            </w:pPr>
            <w:r>
              <w:rPr>
                <w:sz w:val="18"/>
                <w:szCs w:val="18"/>
              </w:rPr>
              <w:t xml:space="preserve">SMS</w:t>
            </w:r>
          </w:p>
        </w:tc>
        <w:tc>
          <w:tcPr>
            <w:tcW w:type="dxa" w:w="2256"/>
            <w:tcMar>
              <w:top w:type="dxa" w:w="60"/>
              <w:left w:type="dxa" w:w="100"/>
              <w:bottom w:type="dxa" w:w="60"/>
              <w:right w:type="dxa" w:w="100"/>
            </w:tcMar>
          </w:tcPr>
          <w:p>
            <w:pPr>
              <w:spacing w:after="0" w:before="0"/>
            </w:pPr>
            <w:r>
              <w:rPr>
                <w:sz w:val="18"/>
                <w:szCs w:val="18"/>
              </w:rPr>
              <w:t xml:space="preserve">21,443</w:t>
            </w:r>
          </w:p>
        </w:tc>
        <w:tc>
          <w:tcPr>
            <w:tcW w:type="dxa" w:w="2256"/>
            <w:tcMar>
              <w:top w:type="dxa" w:w="60"/>
              <w:left w:type="dxa" w:w="100"/>
              <w:bottom w:type="dxa" w:w="60"/>
              <w:right w:type="dxa" w:w="100"/>
            </w:tcMar>
          </w:tcPr>
          <w:p>
            <w:pPr>
              <w:spacing w:after="0" w:before="0"/>
            </w:pPr>
            <w:r>
              <w:rPr>
                <w:sz w:val="18"/>
                <w:szCs w:val="18"/>
              </w:rPr>
              <w:t xml:space="preserve">50</w:t>
            </w:r>
          </w:p>
        </w:tc>
        <w:tc>
          <w:tcPr>
            <w:tcW w:type="dxa" w:w="2256"/>
            <w:tcMar>
              <w:top w:type="dxa" w:w="60"/>
              <w:left w:type="dxa" w:w="100"/>
              <w:bottom w:type="dxa" w:w="60"/>
              <w:right w:type="dxa" w:w="100"/>
            </w:tcMar>
          </w:tcPr>
          <w:p>
            <w:pPr>
              <w:spacing w:after="0" w:before="0"/>
            </w:pPr>
            <w:r>
              <w:rPr>
                <w:sz w:val="18"/>
                <w:szCs w:val="18"/>
              </w:rPr>
              <w:t xml:space="preserve">0.233%</w:t>
            </w:r>
          </w:p>
        </w:tc>
      </w:tr>
      <w:tr>
        <w:tc>
          <w:tcPr>
            <w:tcW w:type="dxa" w:w="2258"/>
            <w:tcMar>
              <w:top w:type="dxa" w:w="60"/>
              <w:left w:type="dxa" w:w="100"/>
              <w:bottom w:type="dxa" w:w="60"/>
              <w:right w:type="dxa" w:w="100"/>
            </w:tcMar>
          </w:tcPr>
          <w:p>
            <w:pPr>
              <w:spacing w:after="0" w:before="0"/>
            </w:pPr>
            <w:r>
              <w:rPr>
                <w:sz w:val="18"/>
                <w:szCs w:val="18"/>
              </w:rPr>
              <w:t xml:space="preserve">WhatsApp</w:t>
            </w:r>
          </w:p>
        </w:tc>
        <w:tc>
          <w:tcPr>
            <w:tcW w:type="dxa" w:w="2256"/>
            <w:tcMar>
              <w:top w:type="dxa" w:w="60"/>
              <w:left w:type="dxa" w:w="100"/>
              <w:bottom w:type="dxa" w:w="60"/>
              <w:right w:type="dxa" w:w="100"/>
            </w:tcMar>
          </w:tcPr>
          <w:p>
            <w:pPr>
              <w:spacing w:after="0" w:before="0"/>
            </w:pPr>
            <w:r>
              <w:rPr>
                <w:sz w:val="18"/>
                <w:szCs w:val="18"/>
              </w:rPr>
              <w:t xml:space="preserve">121</w:t>
            </w:r>
          </w:p>
        </w:tc>
        <w:tc>
          <w:tcPr>
            <w:tcW w:type="dxa" w:w="2256"/>
            <w:tcMar>
              <w:top w:type="dxa" w:w="60"/>
              <w:left w:type="dxa" w:w="100"/>
              <w:bottom w:type="dxa" w:w="60"/>
              <w:right w:type="dxa" w:w="100"/>
            </w:tcMar>
          </w:tcPr>
          <w:p>
            <w:pPr>
              <w:spacing w:after="0" w:before="0"/>
            </w:pPr>
            <w:r>
              <w:rPr>
                <w:sz w:val="18"/>
                <w:szCs w:val="18"/>
              </w:rPr>
              <w:t xml:space="preserve">0</w:t>
            </w:r>
          </w:p>
        </w:tc>
        <w:tc>
          <w:tcPr>
            <w:tcW w:type="dxa" w:w="2256"/>
            <w:tcMar>
              <w:top w:type="dxa" w:w="60"/>
              <w:left w:type="dxa" w:w="100"/>
              <w:bottom w:type="dxa" w:w="60"/>
              <w:right w:type="dxa" w:w="100"/>
            </w:tcMar>
          </w:tcPr>
          <w:p>
            <w:pPr>
              <w:spacing w:after="0" w:before="0"/>
            </w:pPr>
            <w:r>
              <w:rPr>
                <w:sz w:val="18"/>
                <w:szCs w:val="18"/>
              </w:rPr>
              <w:t xml:space="preserve">0.000%</w:t>
            </w:r>
          </w:p>
        </w:tc>
      </w:tr>
    </w:tbl>
    <w:p>
      <w:pPr>
        <w:spacing w:after="180"/>
      </w:pPr>
    </w:p>
    <w:p>
      <w:pPr>
        <w:spacing w:after="140" w:before="60" w:line="276"/>
      </w:pPr>
      <w:r>
        <w:rPr>
          <w:sz w:val="20"/>
          <w:szCs w:val="20"/>
        </w:rPr>
        <w:t xml:space="preserve">Monthly dispatched (Email / SMS / WhatsApp): Jun 1,531 / 553 / — · Jul 18,598 / 6,013 / — · Aug 19,013 / 5,838 / 93 · Sep 19,530 / 6,997 / 28 · Oct (8 days) 5,317 / 1,971 / —.</w:t>
      </w:r>
    </w:p>
    <w:p>
      <w:pPr>
        <w:pStyle w:val="ListParagraph"/>
        <w:numPr>
          <w:ilvl w:val="0"/>
          <w:numId w:val="2"/>
        </w:numPr>
        <w:spacing w:after="40" w:before="40"/>
      </w:pPr>
      <w:r>
        <w:rPr>
          <w:b/>
          <w:bCs/>
          <w:sz w:val="20"/>
          <w:szCs w:val="20"/>
        </w:rPr>
        <w:t xml:space="preserve">Average per active sending day: 814</w:t>
      </w:r>
      <w:r>
        <w:rPr>
          <w:sz w:val="20"/>
          <w:szCs w:val="20"/>
        </w:rPr>
        <w:t xml:space="preserve"> </w:t>
      </w:r>
      <w:r>
        <w:rPr>
          <w:i/>
          <w:iCs/>
          <w:sz w:val="20"/>
          <w:szCs w:val="20"/>
        </w:rPr>
        <w:t xml:space="preserve">(DERIVED — 85,482 ÷ 105)</w:t>
      </w:r>
    </w:p>
    <w:p>
      <w:pPr>
        <w:pStyle w:val="ListParagraph"/>
        <w:numPr>
          <w:ilvl w:val="0"/>
          <w:numId w:val="2"/>
        </w:numPr>
        <w:spacing w:after="40" w:before="40"/>
      </w:pPr>
      <w:r>
        <w:rPr>
          <w:b/>
          <w:bCs/>
          <w:sz w:val="20"/>
          <w:szCs w:val="20"/>
        </w:rPr>
        <w:t xml:space="preserve">Peak day: 1,598</w:t>
      </w:r>
      <w:r>
        <w:rPr>
          <w:sz w:val="20"/>
          <w:szCs w:val="20"/>
        </w:rPr>
        <w:t xml:space="preserve"> on 9 July 2026 </w:t>
      </w:r>
      <w:r>
        <w:rPr>
          <w:i/>
          <w:iCs/>
          <w:sz w:val="20"/>
          <w:szCs w:val="20"/>
        </w:rPr>
        <w:t xml:space="preserve">(VERIFIED)</w:t>
      </w:r>
    </w:p>
    <w:p>
      <w:pPr>
        <w:pBdr>
          <w:left w:val="single" w:color="1F3864" w:sz="12" w:space="8"/>
        </w:pBdr>
        <w:shd w:fill="F4F6FB" w:color="auto" w:val="clear"/>
        <w:spacing w:after="160" w:before="140"/>
        <w:ind w:left="240" w:right="160"/>
      </w:pPr>
      <w:r>
        <w:rPr>
          <w:b/>
          <w:bCs/>
          <w:sz w:val="19"/>
          <w:szCs w:val="19"/>
        </w:rPr>
        <w:t xml:space="preserve">Qualification — important.</w:t>
      </w:r>
      <w:r>
        <w:rPr>
          <w:sz w:val="19"/>
          <w:szCs w:val="19"/>
        </w:rPr>
        <w:t xml:space="preserve"> These are </w:t>
      </w:r>
      <w:r>
        <w:rPr>
          <w:i/>
          <w:iCs/>
          <w:sz w:val="19"/>
          <w:szCs w:val="19"/>
        </w:rPr>
        <w:t xml:space="preserve">message attempts</w:t>
      </w:r>
      <w:r>
        <w:rPr>
          <w:sz w:val="19"/>
          <w:szCs w:val="19"/>
        </w:rPr>
        <w:t xml:space="preserve">, not unique customers. One audience row can produce an Email and an SMS. Across preset-flow sourcing, 73,415 source items carry only 52,520 distinct dedupe keys, and 4,968 keys recur across more than one processing day — so the same customer is legitimately contacted on multiple days. Unique-recipient counts were deliberately </w:t>
      </w:r>
      <w:r>
        <w:rPr>
          <w:b/>
          <w:bCs/>
          <w:sz w:val="19"/>
          <w:szCs w:val="19"/>
        </w:rPr>
        <w:t xml:space="preserve">not</w:t>
      </w:r>
      <w:r>
        <w:rPr>
          <w:sz w:val="19"/>
          <w:szCs w:val="19"/>
        </w:rPr>
        <w:t xml:space="preserve"> computed, to avoid touching personal data.</w:t>
      </w:r>
    </w:p>
    <w:p>
      <w:pPr>
        <w:pStyle w:val="Heading2"/>
        <w:spacing w:after="120" w:before="260"/>
      </w:pPr>
      <w:r>
        <w:rPr>
          <w:b/>
          <w:bCs/>
          <w:color w:val="1F3864"/>
          <w:sz w:val="23"/>
          <w:szCs w:val="23"/>
        </w:rPr>
        <w:t xml:space="preserve">8.2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DF0F7" w:color="auto" w:val="clear"/>
            <w:tcMar>
              <w:top w:type="dxa" w:w="60"/>
              <w:left w:type="dxa" w:w="100"/>
              <w:bottom w:type="dxa" w:w="60"/>
              <w:right w:type="dxa" w:w="100"/>
            </w:tcMar>
          </w:tcPr>
          <w:p>
            <w:pPr>
              <w:spacing w:after="0" w:before="0"/>
            </w:pPr>
            <w:r>
              <w:rPr>
                <w:b/>
                <w:bCs/>
                <w:sz w:val="18"/>
                <w:szCs w:val="18"/>
              </w:rPr>
              <w:t xml:space="preserve">Measure</w:t>
            </w:r>
          </w:p>
        </w:tc>
        <w:tc>
          <w:tcPr>
            <w:tcW w:type="dxa" w:w="4513"/>
            <w:shd w:fill="EDF0F7" w:color="auto" w:val="clear"/>
            <w:tcMar>
              <w:top w:type="dxa" w:w="60"/>
              <w:left w:type="dxa" w:w="100"/>
              <w:bottom w:type="dxa" w:w="60"/>
              <w:right w:type="dxa" w:w="100"/>
            </w:tcMar>
          </w:tcPr>
          <w:p>
            <w:pPr>
              <w:spacing w:after="0" w:before="0"/>
            </w:pPr>
            <w:r>
              <w:rPr>
                <w:b/>
                <w:bCs/>
                <w:sz w:val="18"/>
                <w:szCs w:val="18"/>
              </w:rPr>
              <w:t xml:space="preserve">Value</w:t>
            </w:r>
          </w:p>
        </w:tc>
      </w:tr>
      <w:tr>
        <w:tc>
          <w:tcPr>
            <w:tcW w:type="dxa" w:w="4513"/>
            <w:tcMar>
              <w:top w:type="dxa" w:w="60"/>
              <w:left w:type="dxa" w:w="100"/>
              <w:bottom w:type="dxa" w:w="60"/>
              <w:right w:type="dxa" w:w="100"/>
            </w:tcMar>
          </w:tcPr>
          <w:p>
            <w:pPr>
              <w:spacing w:after="0" w:before="0"/>
            </w:pPr>
            <w:r>
              <w:rPr>
                <w:sz w:val="18"/>
                <w:szCs w:val="18"/>
              </w:rPr>
              <w:t xml:space="preserve">Execution runs</w:t>
            </w:r>
          </w:p>
        </w:tc>
        <w:tc>
          <w:tcPr>
            <w:tcW w:type="dxa" w:w="4513"/>
            <w:tcMar>
              <w:top w:type="dxa" w:w="60"/>
              <w:left w:type="dxa" w:w="100"/>
              <w:bottom w:type="dxa" w:w="60"/>
              <w:right w:type="dxa" w:w="100"/>
            </w:tcMar>
          </w:tcPr>
          <w:p>
            <w:pPr>
              <w:spacing w:after="0" w:before="0"/>
            </w:pPr>
            <w:r>
              <w:rPr>
                <w:sz w:val="18"/>
                <w:szCs w:val="18"/>
              </w:rPr>
              <w:t xml:space="preserve">5,261 — 4,940 Completed, 317 CompletedWithFailures, 4 Cancelled</w:t>
            </w:r>
          </w:p>
        </w:tc>
      </w:tr>
      <w:tr>
        <w:tc>
          <w:tcPr>
            <w:tcW w:type="dxa" w:w="4513"/>
            <w:tcMar>
              <w:top w:type="dxa" w:w="60"/>
              <w:left w:type="dxa" w:w="100"/>
              <w:bottom w:type="dxa" w:w="60"/>
              <w:right w:type="dxa" w:w="100"/>
            </w:tcMar>
          </w:tcPr>
          <w:p>
            <w:pPr>
              <w:spacing w:after="0" w:before="0"/>
            </w:pPr>
            <w:r>
              <w:rPr>
                <w:sz w:val="18"/>
                <w:szCs w:val="18"/>
              </w:rPr>
              <w:t xml:space="preserve">Runs fully clean</w:t>
            </w:r>
          </w:p>
        </w:tc>
        <w:tc>
          <w:tcPr>
            <w:tcW w:type="dxa" w:w="4513"/>
            <w:tcMar>
              <w:top w:type="dxa" w:w="60"/>
              <w:left w:type="dxa" w:w="100"/>
              <w:bottom w:type="dxa" w:w="60"/>
              <w:right w:type="dxa" w:w="100"/>
            </w:tcMar>
          </w:tcPr>
          <w:p>
            <w:pPr>
              <w:spacing w:after="0" w:before="0"/>
            </w:pPr>
            <w:r>
              <w:rPr>
                <w:b/>
                <w:bCs/>
                <w:sz w:val="18"/>
                <w:szCs w:val="18"/>
              </w:rPr>
              <w:t xml:space="preserve">93.9%</w:t>
            </w:r>
            <w:r>
              <w:rPr>
                <w:sz w:val="18"/>
                <w:szCs w:val="18"/>
              </w:rPr>
              <w:t xml:space="preserve"> </w:t>
            </w:r>
            <w:r>
              <w:rPr>
                <w:i/>
                <w:iCs/>
                <w:sz w:val="18"/>
                <w:szCs w:val="18"/>
              </w:rPr>
              <w:t xml:space="preserve">(DERIVED)</w:t>
            </w:r>
          </w:p>
        </w:tc>
      </w:tr>
      <w:tr>
        <w:tc>
          <w:tcPr>
            <w:tcW w:type="dxa" w:w="4513"/>
            <w:tcMar>
              <w:top w:type="dxa" w:w="60"/>
              <w:left w:type="dxa" w:w="100"/>
              <w:bottom w:type="dxa" w:w="60"/>
              <w:right w:type="dxa" w:w="100"/>
            </w:tcMar>
          </w:tcPr>
          <w:p>
            <w:pPr>
              <w:spacing w:after="0" w:before="0"/>
            </w:pPr>
            <w:r>
              <w:rPr>
                <w:sz w:val="18"/>
                <w:szCs w:val="18"/>
              </w:rPr>
              <w:t xml:space="preserve">Preset-flow polling runs</w:t>
            </w:r>
          </w:p>
        </w:tc>
        <w:tc>
          <w:tcPr>
            <w:tcW w:type="dxa" w:w="4513"/>
            <w:tcMar>
              <w:top w:type="dxa" w:w="60"/>
              <w:left w:type="dxa" w:w="100"/>
              <w:bottom w:type="dxa" w:w="60"/>
              <w:right w:type="dxa" w:w="100"/>
            </w:tcMar>
          </w:tcPr>
          <w:p>
            <w:pPr>
              <w:spacing w:after="0" w:before="0"/>
            </w:pPr>
            <w:r>
              <w:rPr>
                <w:sz w:val="18"/>
                <w:szCs w:val="18"/>
              </w:rPr>
              <w:t xml:space="preserve">149,321 — 149,065 succeeded, 256 failed (</w:t>
            </w:r>
            <w:r>
              <w:rPr>
                <w:b/>
                <w:bCs/>
                <w:sz w:val="18"/>
                <w:szCs w:val="18"/>
              </w:rPr>
              <w:t xml:space="preserve">99.83%</w:t>
            </w:r>
            <w:r>
              <w:rPr>
                <w:sz w:val="18"/>
                <w:szCs w:val="18"/>
              </w:rPr>
              <w:t xml:space="preserve">) </w:t>
            </w:r>
            <w:r>
              <w:rPr>
                <w:i/>
                <w:iCs/>
                <w:sz w:val="18"/>
                <w:szCs w:val="18"/>
              </w:rPr>
              <w:t xml:space="preserve">(DERIVED)</w:t>
            </w:r>
          </w:p>
        </w:tc>
      </w:tr>
      <w:tr>
        <w:tc>
          <w:tcPr>
            <w:tcW w:type="dxa" w:w="4513"/>
            <w:tcMar>
              <w:top w:type="dxa" w:w="60"/>
              <w:left w:type="dxa" w:w="100"/>
              <w:bottom w:type="dxa" w:w="60"/>
              <w:right w:type="dxa" w:w="100"/>
            </w:tcMar>
          </w:tcPr>
          <w:p>
            <w:pPr>
              <w:spacing w:after="0" w:before="0"/>
            </w:pPr>
            <w:r>
              <w:rPr>
                <w:sz w:val="18"/>
                <w:szCs w:val="18"/>
              </w:rPr>
              <w:t xml:space="preserve">Schedule dispatches</w:t>
            </w:r>
          </w:p>
        </w:tc>
        <w:tc>
          <w:tcPr>
            <w:tcW w:type="dxa" w:w="4513"/>
            <w:tcMar>
              <w:top w:type="dxa" w:w="60"/>
              <w:left w:type="dxa" w:w="100"/>
              <w:bottom w:type="dxa" w:w="60"/>
              <w:right w:type="dxa" w:w="100"/>
            </w:tcMar>
          </w:tcPr>
          <w:p>
            <w:pPr>
              <w:spacing w:after="0" w:before="0"/>
            </w:pPr>
            <w:r>
              <w:rPr>
                <w:sz w:val="18"/>
                <w:szCs w:val="18"/>
              </w:rPr>
              <w:t xml:space="preserve">1,146 — across </w:t>
            </w:r>
            <w:r>
              <w:rPr>
                <w:b/>
                <w:bCs/>
                <w:sz w:val="18"/>
                <w:szCs w:val="18"/>
              </w:rPr>
              <w:t xml:space="preserve">1,146 distinct</w:t>
            </w:r>
            <w:r>
              <w:rPr>
                <w:sz w:val="18"/>
                <w:szCs w:val="18"/>
              </w:rPr>
              <w:t xml:space="preserve"> </w:t>
            </w:r>
            <w:r>
              <w:rPr>
                <w:rFonts w:ascii="Consolas" w:cs="Consolas" w:eastAsia="Consolas" w:hAnsi="Consolas"/>
                <w:sz w:val="18"/>
                <w:szCs w:val="18"/>
              </w:rPr>
              <w:t xml:space="preserve">(scheduleId, scheduledFor)</w:t>
            </w:r>
            <w:r>
              <w:rPr>
                <w:sz w:val="18"/>
                <w:szCs w:val="18"/>
              </w:rPr>
              <w:t xml:space="preserve"> slots</w:t>
            </w:r>
          </w:p>
        </w:tc>
      </w:tr>
      <w:tr>
        <w:tc>
          <w:tcPr>
            <w:tcW w:type="dxa" w:w="4513"/>
            <w:tcMar>
              <w:top w:type="dxa" w:w="60"/>
              <w:left w:type="dxa" w:w="100"/>
              <w:bottom w:type="dxa" w:w="60"/>
              <w:right w:type="dxa" w:w="100"/>
            </w:tcMar>
          </w:tcPr>
          <w:p>
            <w:pPr>
              <w:spacing w:after="0" w:before="0"/>
            </w:pPr>
            <w:r>
              <w:rPr>
                <w:sz w:val="18"/>
                <w:szCs w:val="18"/>
              </w:rPr>
              <w:t xml:space="preserve">Recipients retried</w:t>
            </w:r>
          </w:p>
        </w:tc>
        <w:tc>
          <w:tcPr>
            <w:tcW w:type="dxa" w:w="4513"/>
            <w:tcMar>
              <w:top w:type="dxa" w:w="60"/>
              <w:left w:type="dxa" w:w="100"/>
              <w:bottom w:type="dxa" w:w="60"/>
              <w:right w:type="dxa" w:w="100"/>
            </w:tcMar>
          </w:tcPr>
          <w:p>
            <w:pPr>
              <w:spacing w:after="0" w:before="0"/>
            </w:pPr>
            <w:r>
              <w:rPr>
                <w:sz w:val="18"/>
                <w:szCs w:val="18"/>
              </w:rPr>
              <w:t xml:space="preserve">747; maximum attempt count 2</w:t>
            </w:r>
          </w:p>
        </w:tc>
      </w:tr>
    </w:tbl>
    <w:p>
      <w:pPr>
        <w:spacing w:after="180"/>
      </w:pPr>
    </w:p>
    <w:p>
      <w:pPr>
        <w:spacing w:after="140" w:before="60" w:line="276"/>
      </w:pPr>
      <w:r>
        <w:rPr>
          <w:sz w:val="20"/>
          <w:szCs w:val="20"/>
        </w:rPr>
        <w:t xml:space="preserve">The schedule figure is the strongest single idempotency result available: the </w:t>
      </w:r>
      <w:r>
        <w:rPr>
          <w:rFonts w:ascii="Consolas" w:cs="Consolas" w:eastAsia="Consolas" w:hAnsi="Consolas"/>
          <w:sz w:val="18"/>
          <w:szCs w:val="18"/>
        </w:rPr>
        <w:t xml:space="preserve">@@unique([scheduleId, scheduledFor])</w:t>
      </w:r>
      <w:r>
        <w:rPr>
          <w:sz w:val="20"/>
          <w:szCs w:val="20"/>
        </w:rPr>
        <w:t xml:space="preserve"> constraint has held across every dispatch, with </w:t>
      </w:r>
      <w:r>
        <w:rPr>
          <w:b/>
          <w:bCs/>
          <w:sz w:val="20"/>
          <w:szCs w:val="20"/>
        </w:rPr>
        <w:t xml:space="preserve">zero double-sends</w:t>
      </w:r>
      <w:r>
        <w:rPr>
          <w:sz w:val="20"/>
          <w:szCs w:val="20"/>
        </w:rPr>
        <w:t xml:space="preserve"> attributable to duplicate scheduling.</w:t>
      </w:r>
    </w:p>
    <w:p>
      <w:pPr>
        <w:pStyle w:val="Heading2"/>
        <w:spacing w:after="120" w:before="260"/>
      </w:pPr>
      <w:r>
        <w:rPr>
          <w:b/>
          <w:bCs/>
          <w:color w:val="1F3864"/>
          <w:sz w:val="23"/>
          <w:szCs w:val="23"/>
        </w:rPr>
        <w:t xml:space="preserve">8.3 Automation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DF0F7" w:color="auto" w:val="clear"/>
            <w:tcMar>
              <w:top w:type="dxa" w:w="60"/>
              <w:left w:type="dxa" w:w="100"/>
              <w:bottom w:type="dxa" w:w="60"/>
              <w:right w:type="dxa" w:w="100"/>
            </w:tcMar>
          </w:tcPr>
          <w:p>
            <w:pPr>
              <w:spacing w:after="0" w:before="0"/>
            </w:pPr>
            <w:r>
              <w:rPr>
                <w:b/>
                <w:bCs/>
                <w:sz w:val="18"/>
                <w:szCs w:val="18"/>
              </w:rPr>
              <w:t xml:space="preserve">Trigger</w:t>
            </w:r>
          </w:p>
        </w:tc>
        <w:tc>
          <w:tcPr>
            <w:tcW w:type="dxa" w:w="3008"/>
            <w:shd w:fill="EDF0F7" w:color="auto" w:val="clear"/>
            <w:tcMar>
              <w:top w:type="dxa" w:w="60"/>
              <w:left w:type="dxa" w:w="100"/>
              <w:bottom w:type="dxa" w:w="60"/>
              <w:right w:type="dxa" w:w="100"/>
            </w:tcMar>
          </w:tcPr>
          <w:p>
            <w:pPr>
              <w:spacing w:after="0" w:before="0"/>
            </w:pPr>
            <w:r>
              <w:rPr>
                <w:b/>
                <w:bCs/>
                <w:sz w:val="18"/>
                <w:szCs w:val="18"/>
              </w:rPr>
              <w:t xml:space="preserve">Runs</w:t>
            </w:r>
          </w:p>
        </w:tc>
        <w:tc>
          <w:tcPr>
            <w:tcW w:type="dxa" w:w="3008"/>
            <w:shd w:fill="EDF0F7" w:color="auto" w:val="clear"/>
            <w:tcMar>
              <w:top w:type="dxa" w:w="60"/>
              <w:left w:type="dxa" w:w="100"/>
              <w:bottom w:type="dxa" w:w="60"/>
              <w:right w:type="dxa" w:w="100"/>
            </w:tcMar>
          </w:tcPr>
          <w:p>
            <w:pPr>
              <w:spacing w:after="0" w:before="0"/>
            </w:pPr>
            <w:r>
              <w:rPr>
                <w:b/>
                <w:bCs/>
                <w:sz w:val="18"/>
                <w:szCs w:val="18"/>
              </w:rPr>
              <w:t xml:space="preserve">Share</w:t>
            </w:r>
          </w:p>
        </w:tc>
      </w:tr>
      <w:tr>
        <w:tc>
          <w:tcPr>
            <w:tcW w:type="dxa" w:w="3010"/>
            <w:tcMar>
              <w:top w:type="dxa" w:w="60"/>
              <w:left w:type="dxa" w:w="100"/>
              <w:bottom w:type="dxa" w:w="60"/>
              <w:right w:type="dxa" w:w="100"/>
            </w:tcMar>
          </w:tcPr>
          <w:p>
            <w:pPr>
              <w:spacing w:after="0" w:before="0"/>
            </w:pPr>
            <w:r>
              <w:rPr>
                <w:sz w:val="18"/>
                <w:szCs w:val="18"/>
              </w:rPr>
              <w:t xml:space="preserve">PresetFlowPolling</w:t>
            </w:r>
          </w:p>
        </w:tc>
        <w:tc>
          <w:tcPr>
            <w:tcW w:type="dxa" w:w="3008"/>
            <w:tcMar>
              <w:top w:type="dxa" w:w="60"/>
              <w:left w:type="dxa" w:w="100"/>
              <w:bottom w:type="dxa" w:w="60"/>
              <w:right w:type="dxa" w:w="100"/>
            </w:tcMar>
          </w:tcPr>
          <w:p>
            <w:pPr>
              <w:spacing w:after="0" w:before="0"/>
            </w:pPr>
            <w:r>
              <w:rPr>
                <w:sz w:val="18"/>
                <w:szCs w:val="18"/>
              </w:rPr>
              <w:t xml:space="preserve">4,219</w:t>
            </w:r>
          </w:p>
        </w:tc>
        <w:tc>
          <w:tcPr>
            <w:tcW w:type="dxa" w:w="3008"/>
            <w:tcMar>
              <w:top w:type="dxa" w:w="60"/>
              <w:left w:type="dxa" w:w="100"/>
              <w:bottom w:type="dxa" w:w="60"/>
              <w:right w:type="dxa" w:w="100"/>
            </w:tcMar>
          </w:tcPr>
          <w:p>
            <w:pPr>
              <w:spacing w:after="0" w:before="0"/>
            </w:pPr>
            <w:r>
              <w:rPr>
                <w:sz w:val="18"/>
                <w:szCs w:val="18"/>
              </w:rPr>
              <w:t xml:space="preserve">80.2%</w:t>
            </w:r>
          </w:p>
        </w:tc>
      </w:tr>
      <w:tr>
        <w:tc>
          <w:tcPr>
            <w:tcW w:type="dxa" w:w="3010"/>
            <w:tcMar>
              <w:top w:type="dxa" w:w="60"/>
              <w:left w:type="dxa" w:w="100"/>
              <w:bottom w:type="dxa" w:w="60"/>
              <w:right w:type="dxa" w:w="100"/>
            </w:tcMar>
          </w:tcPr>
          <w:p>
            <w:pPr>
              <w:spacing w:after="0" w:before="0"/>
            </w:pPr>
            <w:r>
              <w:rPr>
                <w:sz w:val="18"/>
                <w:szCs w:val="18"/>
              </w:rPr>
              <w:t xml:space="preserve">Scheduled</w:t>
            </w:r>
          </w:p>
        </w:tc>
        <w:tc>
          <w:tcPr>
            <w:tcW w:type="dxa" w:w="3008"/>
            <w:tcMar>
              <w:top w:type="dxa" w:w="60"/>
              <w:left w:type="dxa" w:w="100"/>
              <w:bottom w:type="dxa" w:w="60"/>
              <w:right w:type="dxa" w:w="100"/>
            </w:tcMar>
          </w:tcPr>
          <w:p>
            <w:pPr>
              <w:spacing w:after="0" w:before="0"/>
            </w:pPr>
            <w:r>
              <w:rPr>
                <w:sz w:val="18"/>
                <w:szCs w:val="18"/>
              </w:rPr>
              <w:t xml:space="preserve">1,011</w:t>
            </w:r>
          </w:p>
        </w:tc>
        <w:tc>
          <w:tcPr>
            <w:tcW w:type="dxa" w:w="3008"/>
            <w:tcMar>
              <w:top w:type="dxa" w:w="60"/>
              <w:left w:type="dxa" w:w="100"/>
              <w:bottom w:type="dxa" w:w="60"/>
              <w:right w:type="dxa" w:w="100"/>
            </w:tcMar>
          </w:tcPr>
          <w:p>
            <w:pPr>
              <w:spacing w:after="0" w:before="0"/>
            </w:pPr>
            <w:r>
              <w:rPr>
                <w:sz w:val="18"/>
                <w:szCs w:val="18"/>
              </w:rPr>
              <w:t xml:space="preserve">19.2%</w:t>
            </w:r>
          </w:p>
        </w:tc>
      </w:tr>
      <w:tr>
        <w:tc>
          <w:tcPr>
            <w:tcW w:type="dxa" w:w="3010"/>
            <w:tcMar>
              <w:top w:type="dxa" w:w="60"/>
              <w:left w:type="dxa" w:w="100"/>
              <w:bottom w:type="dxa" w:w="60"/>
              <w:right w:type="dxa" w:w="100"/>
            </w:tcMar>
          </w:tcPr>
          <w:p>
            <w:pPr>
              <w:spacing w:after="0" w:before="0"/>
            </w:pPr>
            <w:r>
              <w:rPr>
                <w:sz w:val="18"/>
                <w:szCs w:val="18"/>
              </w:rPr>
              <w:t xml:space="preserve">Manual</w:t>
            </w:r>
          </w:p>
        </w:tc>
        <w:tc>
          <w:tcPr>
            <w:tcW w:type="dxa" w:w="3008"/>
            <w:tcMar>
              <w:top w:type="dxa" w:w="60"/>
              <w:left w:type="dxa" w:w="100"/>
              <w:bottom w:type="dxa" w:w="60"/>
              <w:right w:type="dxa" w:w="100"/>
            </w:tcMar>
          </w:tcPr>
          <w:p>
            <w:pPr>
              <w:spacing w:after="0" w:before="0"/>
            </w:pPr>
            <w:r>
              <w:rPr>
                <w:sz w:val="18"/>
                <w:szCs w:val="18"/>
              </w:rPr>
              <w:t xml:space="preserve">22</w:t>
            </w:r>
          </w:p>
        </w:tc>
        <w:tc>
          <w:tcPr>
            <w:tcW w:type="dxa" w:w="3008"/>
            <w:tcMar>
              <w:top w:type="dxa" w:w="60"/>
              <w:left w:type="dxa" w:w="100"/>
              <w:bottom w:type="dxa" w:w="60"/>
              <w:right w:type="dxa" w:w="100"/>
            </w:tcMar>
          </w:tcPr>
          <w:p>
            <w:pPr>
              <w:spacing w:after="0" w:before="0"/>
            </w:pPr>
            <w:r>
              <w:rPr>
                <w:sz w:val="18"/>
                <w:szCs w:val="18"/>
              </w:rPr>
              <w:t xml:space="preserve">0.4%</w:t>
            </w:r>
          </w:p>
        </w:tc>
      </w:tr>
      <w:tr>
        <w:tc>
          <w:tcPr>
            <w:tcW w:type="dxa" w:w="3010"/>
            <w:tcMar>
              <w:top w:type="dxa" w:w="60"/>
              <w:left w:type="dxa" w:w="100"/>
              <w:bottom w:type="dxa" w:w="60"/>
              <w:right w:type="dxa" w:w="100"/>
            </w:tcMar>
          </w:tcPr>
          <w:p>
            <w:pPr>
              <w:spacing w:after="0" w:before="0"/>
            </w:pPr>
            <w:r>
              <w:rPr>
                <w:sz w:val="18"/>
                <w:szCs w:val="18"/>
              </w:rPr>
              <w:t xml:space="preserve">Retry</w:t>
            </w:r>
          </w:p>
        </w:tc>
        <w:tc>
          <w:tcPr>
            <w:tcW w:type="dxa" w:w="3008"/>
            <w:tcMar>
              <w:top w:type="dxa" w:w="60"/>
              <w:left w:type="dxa" w:w="100"/>
              <w:bottom w:type="dxa" w:w="60"/>
              <w:right w:type="dxa" w:w="100"/>
            </w:tcMar>
          </w:tcPr>
          <w:p>
            <w:pPr>
              <w:spacing w:after="0" w:before="0"/>
            </w:pPr>
            <w:r>
              <w:rPr>
                <w:sz w:val="18"/>
                <w:szCs w:val="18"/>
              </w:rPr>
              <w:t xml:space="preserve">9</w:t>
            </w:r>
          </w:p>
        </w:tc>
        <w:tc>
          <w:tcPr>
            <w:tcW w:type="dxa" w:w="3008"/>
            <w:tcMar>
              <w:top w:type="dxa" w:w="60"/>
              <w:left w:type="dxa" w:w="100"/>
              <w:bottom w:type="dxa" w:w="60"/>
              <w:right w:type="dxa" w:w="100"/>
            </w:tcMar>
          </w:tcPr>
          <w:p>
            <w:pPr>
              <w:spacing w:after="0" w:before="0"/>
            </w:pPr>
            <w:r>
              <w:rPr>
                <w:sz w:val="18"/>
                <w:szCs w:val="18"/>
              </w:rPr>
              <w:t xml:space="preserve">0.2%</w:t>
            </w:r>
          </w:p>
        </w:tc>
      </w:tr>
    </w:tbl>
    <w:p>
      <w:pPr>
        <w:spacing w:after="180"/>
      </w:pPr>
    </w:p>
    <w:p>
      <w:pPr>
        <w:spacing w:after="140" w:before="60" w:line="276"/>
      </w:pPr>
      <w:r>
        <w:rPr>
          <w:b/>
          <w:bCs/>
          <w:sz w:val="20"/>
          <w:szCs w:val="20"/>
        </w:rPr>
        <w:t xml:space="preserve">99.4% of execution runs started without a human pressing anything</w:t>
      </w:r>
      <w:r>
        <w:rPr>
          <w:sz w:val="20"/>
          <w:szCs w:val="20"/>
        </w:rPr>
        <w:t xml:space="preserve"> </w:t>
      </w:r>
      <w:r>
        <w:rPr>
          <w:i/>
          <w:iCs/>
          <w:sz w:val="20"/>
          <w:szCs w:val="20"/>
        </w:rPr>
        <w:t xml:space="preserve">(DERIVED — 5,230 ÷ 5,261)</w:t>
      </w:r>
      <w:r>
        <w:rPr>
          <w:sz w:val="20"/>
          <w:szCs w:val="20"/>
        </w:rPr>
        <w:t xml:space="preserve">.</w:t>
      </w:r>
    </w:p>
    <w:p>
      <w:pPr>
        <w:pStyle w:val="Heading2"/>
        <w:spacing w:after="120" w:before="260"/>
      </w:pPr>
      <w:r>
        <w:rPr>
          <w:b/>
          <w:bCs/>
          <w:color w:val="1F3864"/>
          <w:sz w:val="23"/>
          <w:szCs w:val="23"/>
        </w:rPr>
        <w:t xml:space="preserve">8.4 External Service Comms</w:t>
      </w:r>
    </w:p>
    <w:p>
      <w:pPr>
        <w:spacing w:after="140" w:before="60" w:line="276"/>
      </w:pPr>
      <w:r>
        <w:rPr>
          <w:sz w:val="20"/>
          <w:szCs w:val="20"/>
        </w:rPr>
        <w:t xml:space="preserve">18,113 emails between 11 May and 8 October 2026, from 22 registered API clients (traffic recorded against 20 distinct client IDs; busiest client 7,345 emails, mean 862.5).</w:t>
      </w:r>
    </w:p>
    <w:p>
      <w:pPr>
        <w:spacing w:after="140" w:before="60" w:line="276"/>
      </w:pPr>
      <w:r>
        <w:rPr>
          <w:sz w:val="20"/>
          <w:szCs w:val="20"/>
        </w:rPr>
        <w:t xml:space="preserve">Status: Sent 11,271 · Delivered 5,238 · Skipped 1,263 · Failed 341.</w:t>
      </w:r>
    </w:p>
    <w:p>
      <w:pPr>
        <w:spacing w:after="140" w:before="60" w:line="276"/>
      </w:pPr>
      <w:r>
        <w:rPr>
          <w:sz w:val="20"/>
          <w:szCs w:val="20"/>
        </w:rPr>
        <w:t xml:space="preserve">Monthly: May 47 · Jun 1,077 · Jul 1,931 · Aug 6,016 · Sep 7,075 · Oct (8 days) 1,967 — a </w:t>
      </w:r>
      <w:r>
        <w:rPr>
          <w:b/>
          <w:bCs/>
          <w:sz w:val="20"/>
          <w:szCs w:val="20"/>
        </w:rPr>
        <w:t xml:space="preserve">consistent month-on-month growth curve in adopted usage</w:t>
      </w:r>
      <w:r>
        <w:rPr>
          <w:sz w:val="20"/>
          <w:szCs w:val="20"/>
        </w:rPr>
        <w:t xml:space="preserve"> by other internal systems.</w:t>
      </w:r>
    </w:p>
    <w:p>
      <w:pPr>
        <w:pStyle w:val="Heading2"/>
        <w:spacing w:after="120" w:before="260"/>
      </w:pPr>
      <w:r>
        <w:rPr>
          <w:b/>
          <w:bCs/>
          <w:color w:val="1F3864"/>
          <w:sz w:val="23"/>
          <w:szCs w:val="23"/>
        </w:rPr>
        <w:t xml:space="preserve">8.5 Governance</w:t>
      </w:r>
    </w:p>
    <w:p>
      <w:pPr>
        <w:pStyle w:val="ListParagraph"/>
        <w:numPr>
          <w:ilvl w:val="0"/>
          <w:numId w:val="2"/>
        </w:numPr>
        <w:spacing w:after="40" w:before="40"/>
      </w:pPr>
      <w:r>
        <w:rPr>
          <w:b/>
          <w:bCs/>
          <w:sz w:val="20"/>
          <w:szCs w:val="20"/>
        </w:rPr>
        <w:t xml:space="preserve">364,430</w:t>
      </w:r>
      <w:r>
        <w:rPr>
          <w:sz w:val="20"/>
          <w:szCs w:val="20"/>
        </w:rPr>
        <w:t xml:space="preserve"> audit events, 30 Apr – 8 Oct 2026, across </w:t>
      </w:r>
      <w:r>
        <w:rPr>
          <w:b/>
          <w:bCs/>
          <w:sz w:val="20"/>
          <w:szCs w:val="20"/>
        </w:rPr>
        <w:t xml:space="preserve">59 distinct action types</w:t>
      </w:r>
      <w:r>
        <w:rPr>
          <w:sz w:val="20"/>
          <w:szCs w:val="20"/>
        </w:rPr>
        <w:t xml:space="preserve">, 7 distinct actor user IDs (most events are system-actor).</w:t>
      </w:r>
    </w:p>
    <w:p>
      <w:pPr>
        <w:pStyle w:val="ListParagraph"/>
        <w:numPr>
          <w:ilvl w:val="0"/>
          <w:numId w:val="2"/>
        </w:numPr>
        <w:spacing w:after="40" w:before="40"/>
      </w:pPr>
      <w:r>
        <w:rPr>
          <w:sz w:val="20"/>
          <w:szCs w:val="20"/>
        </w:rPr>
        <w:t xml:space="preserve">Largest categories: </w:t>
      </w:r>
      <w:r>
        <w:rPr>
          <w:rFonts w:ascii="Consolas" w:cs="Consolas" w:eastAsia="Consolas" w:hAnsi="Consolas"/>
          <w:sz w:val="18"/>
          <w:szCs w:val="18"/>
        </w:rPr>
        <w:t xml:space="preserve">preset_flow_synced</w:t>
      </w:r>
      <w:r>
        <w:rPr>
          <w:sz w:val="20"/>
          <w:szCs w:val="20"/>
        </w:rPr>
        <w:t xml:space="preserve"> 174,411 · </w:t>
      </w:r>
      <w:r>
        <w:rPr>
          <w:rFonts w:ascii="Consolas" w:cs="Consolas" w:eastAsia="Consolas" w:hAnsi="Consolas"/>
          <w:sz w:val="18"/>
          <w:szCs w:val="18"/>
        </w:rPr>
        <w:t xml:space="preserve">execution_recipient_sent</w:t>
      </w:r>
      <w:r>
        <w:rPr>
          <w:sz w:val="20"/>
          <w:szCs w:val="20"/>
        </w:rPr>
        <w:t xml:space="preserve"> 122,543 · </w:t>
      </w:r>
      <w:r>
        <w:rPr>
          <w:rFonts w:ascii="Consolas" w:cs="Consolas" w:eastAsia="Consolas" w:hAnsi="Consolas"/>
          <w:sz w:val="18"/>
          <w:szCs w:val="18"/>
        </w:rPr>
        <w:t xml:space="preserve">execution_webhook_received</w:t>
      </w:r>
      <w:r>
        <w:rPr>
          <w:sz w:val="20"/>
          <w:szCs w:val="20"/>
        </w:rPr>
        <w:t xml:space="preserve"> 27,057 · </w:t>
      </w:r>
      <w:r>
        <w:rPr>
          <w:rFonts w:ascii="Consolas" w:cs="Consolas" w:eastAsia="Consolas" w:hAnsi="Consolas"/>
          <w:sz w:val="18"/>
          <w:szCs w:val="18"/>
        </w:rPr>
        <w:t xml:space="preserve">preset_flow_sync_failed</w:t>
      </w:r>
      <w:r>
        <w:rPr>
          <w:sz w:val="20"/>
          <w:szCs w:val="20"/>
        </w:rPr>
        <w:t xml:space="preserve"> 21,608.</w:t>
      </w:r>
    </w:p>
    <w:p>
      <w:pPr>
        <w:pStyle w:val="ListParagraph"/>
        <w:numPr>
          <w:ilvl w:val="0"/>
          <w:numId w:val="2"/>
        </w:numPr>
        <w:spacing w:after="40" w:before="40"/>
      </w:pPr>
      <w:r>
        <w:rPr>
          <w:b/>
          <w:bCs/>
          <w:sz w:val="20"/>
          <w:szCs w:val="20"/>
        </w:rPr>
        <w:t xml:space="preserve">917</w:t>
      </w:r>
      <w:r>
        <w:rPr>
          <w:sz w:val="20"/>
          <w:szCs w:val="20"/>
        </w:rPr>
        <w:t xml:space="preserve"> immutable </w:t>
      </w:r>
      <w:r>
        <w:rPr>
          <w:rFonts w:ascii="Consolas" w:cs="Consolas" w:eastAsia="Consolas" w:hAnsi="Consolas"/>
          <w:sz w:val="18"/>
          <w:szCs w:val="18"/>
        </w:rPr>
        <w:t xml:space="preserve">MessageSnapshot</w:t>
      </w:r>
      <w:r>
        <w:rPr>
          <w:sz w:val="20"/>
          <w:szCs w:val="20"/>
        </w:rPr>
        <w:t xml:space="preserve"> records (7 Aug – 8 Oct 2026).</w:t>
      </w:r>
    </w:p>
    <w:p>
      <w:pPr>
        <w:pBdr>
          <w:left w:val="single" w:color="1F3864" w:sz="12" w:space="8"/>
        </w:pBdr>
        <w:shd w:fill="F4F6FB" w:color="auto" w:val="clear"/>
        <w:spacing w:after="160" w:before="140"/>
        <w:ind w:left="240" w:right="160"/>
      </w:pPr>
      <w:r>
        <w:rPr>
          <w:b/>
          <w:bCs/>
          <w:sz w:val="19"/>
          <w:szCs w:val="19"/>
        </w:rPr>
        <w:t xml:space="preserve">Qualification.</w:t>
      </w:r>
      <w:r>
        <w:rPr>
          <w:sz w:val="19"/>
          <w:szCs w:val="19"/>
        </w:rPr>
        <w:t xml:space="preserve"> </w:t>
      </w:r>
      <w:r>
        <w:rPr>
          <w:rFonts w:ascii="Consolas" w:cs="Consolas" w:eastAsia="Consolas" w:hAnsi="Consolas"/>
          <w:sz w:val="18"/>
          <w:szCs w:val="18"/>
        </w:rPr>
        <w:t xml:space="preserve">preset_flow_sync_failed</w:t>
      </w:r>
      <w:r>
        <w:rPr>
          <w:sz w:val="19"/>
          <w:szCs w:val="19"/>
        </w:rPr>
        <w:t xml:space="preserve"> (21,608) vastly exceeds failed </w:t>
      </w:r>
      <w:r>
        <w:rPr>
          <w:rFonts w:ascii="Consolas" w:cs="Consolas" w:eastAsia="Consolas" w:hAnsi="Consolas"/>
          <w:sz w:val="18"/>
          <w:szCs w:val="18"/>
        </w:rPr>
        <w:t xml:space="preserve">PresetFlowRun</w:t>
      </w:r>
      <w:r>
        <w:rPr>
          <w:sz w:val="19"/>
          <w:szCs w:val="19"/>
        </w:rPr>
        <w:t xml:space="preserve"> rows (256). These count different things — the audit action appears to be logged per campaign per attempt, while a run row is one persisted sync. The </w:t>
      </w:r>
      <w:r>
        <w:rPr>
          <w:b/>
          <w:bCs/>
          <w:sz w:val="19"/>
          <w:szCs w:val="19"/>
        </w:rPr>
        <w:t xml:space="preserve">99.83% figure in §8.2 uses `PresetFlowRun`</w:t>
      </w:r>
      <w:r>
        <w:rPr>
          <w:sz w:val="19"/>
          <w:szCs w:val="19"/>
        </w:rPr>
        <w:t xml:space="preserve">, the authoritative run record. The discrepancy is noted rather than resolved; see Evidence Gaps.</w:t>
      </w:r>
    </w:p>
    <w:p>
      <w:pPr>
        <w:pStyle w:val="Heading2"/>
        <w:spacing w:after="120" w:before="260"/>
      </w:pPr>
      <w:r>
        <w:rPr>
          <w:b/>
          <w:bCs/>
          <w:color w:val="1F3864"/>
          <w:sz w:val="23"/>
          <w:szCs w:val="23"/>
        </w:rPr>
        <w:t xml:space="preserve">8.6 Content and configuration</w:t>
      </w:r>
    </w:p>
    <w:p>
      <w:pPr>
        <w:spacing w:after="140" w:before="60" w:line="276"/>
      </w:pPr>
      <w:r>
        <w:rPr>
          <w:sz w:val="20"/>
          <w:szCs w:val="20"/>
        </w:rPr>
        <w:t xml:space="preserve">16 campaigns (15 Approved) · 33 templates (27 Email, 5 SMS, 1 WhatsApp) · 145 template versions, highest version number 13 · 14 schedules (13 Active) · 18 email senders · 4 messaging senders · 5 provider adapters live.</w:t>
      </w:r>
    </w:p>
    <w:p>
      <w:pPr>
        <w:pStyle w:val="Heading1"/>
        <w:pBdr>
          <w:bottom w:val="single" w:color="BFBFBF" w:sz="6" w:space="6"/>
        </w:pBdr>
        <w:spacing w:after="160" w:before="360"/>
      </w:pPr>
      <w:r>
        <w:rPr>
          <w:b/>
          <w:bCs/>
          <w:color w:val="1F3864"/>
          <w:sz w:val="28"/>
          <w:szCs w:val="28"/>
        </w:rPr>
        <w:t xml:space="preserve">9. Business Impact</w:t>
      </w:r>
    </w:p>
    <w:p>
      <w:pPr>
        <w:spacing w:after="140" w:before="60" w:line="276"/>
      </w:pPr>
      <w:r>
        <w:rPr>
          <w:b/>
          <w:bCs/>
          <w:sz w:val="20"/>
          <w:szCs w:val="20"/>
        </w:rPr>
        <w:t xml:space="preserve">Established by evidence:</w:t>
      </w:r>
    </w:p>
    <w:p>
      <w:pPr>
        <w:pStyle w:val="ListParagraph"/>
        <w:numPr>
          <w:ilvl w:val="0"/>
          <w:numId w:val="2"/>
        </w:numPr>
        <w:spacing w:after="40" w:before="40"/>
      </w:pPr>
      <w:r>
        <w:rPr>
          <w:b/>
          <w:bCs/>
          <w:sz w:val="20"/>
          <w:szCs w:val="20"/>
        </w:rPr>
        <w:t xml:space="preserve">Consolidation — the originating goal — is measurably happening.</w:t>
      </w:r>
      <w:r>
        <w:rPr>
          <w:sz w:val="20"/>
          <w:szCs w:val="20"/>
        </w:rPr>
        <w:t xml:space="preserve"> 22 internal client systems now send through the platform rather than around it, growing 47 → 7,075 emails monthly (§8.4), on top of 85,482 campaign messages. Both routes land in one store with one audit trail.</w:t>
      </w:r>
    </w:p>
    <w:p>
      <w:pPr>
        <w:pStyle w:val="ListParagraph"/>
        <w:numPr>
          <w:ilvl w:val="0"/>
          <w:numId w:val="2"/>
        </w:numPr>
        <w:spacing w:after="40" w:before="40"/>
      </w:pPr>
      <w:r>
        <w:rPr>
          <w:b/>
          <w:bCs/>
          <w:sz w:val="20"/>
          <w:szCs w:val="20"/>
        </w:rPr>
        <w:t xml:space="preserve">Visibility where there was none.</w:t>
      </w:r>
      <w:r>
        <w:rPr>
          <w:sz w:val="20"/>
          <w:szCs w:val="20"/>
        </w:rPr>
        <w:t xml:space="preserve"> Per-customer communication history, dashboard, searchable/exportable message log, and a 364,430-event audit trail — against a legacy estate with no interface at all (§3.2).</w:t>
      </w:r>
    </w:p>
    <w:p>
      <w:pPr>
        <w:pStyle w:val="ListParagraph"/>
        <w:numPr>
          <w:ilvl w:val="0"/>
          <w:numId w:val="2"/>
        </w:numPr>
        <w:spacing w:after="40" w:before="40"/>
      </w:pPr>
      <w:r>
        <w:rPr>
          <w:b/>
          <w:bCs/>
          <w:sz w:val="20"/>
          <w:szCs w:val="20"/>
        </w:rPr>
        <w:t xml:space="preserve">Failure is now visible rather than silent.</w:t>
      </w:r>
      <w:r>
        <w:rPr>
          <w:sz w:val="20"/>
          <w:szCs w:val="20"/>
        </w:rPr>
        <w:t xml:space="preserve"> Legacy failures reached an unimplemented TODO; UCP records 683 failed/bounced emails and 50 failed SMS as queryable state, surfaces </w:t>
      </w:r>
      <w:r>
        <w:rPr>
          <w:rFonts w:ascii="Consolas" w:cs="Consolas" w:eastAsia="Consolas" w:hAnsi="Consolas"/>
          <w:sz w:val="18"/>
          <w:szCs w:val="18"/>
        </w:rPr>
        <w:t xml:space="preserve">CompletedWithFailures</w:t>
      </w:r>
      <w:r>
        <w:rPr>
          <w:sz w:val="20"/>
          <w:szCs w:val="20"/>
        </w:rPr>
        <w:t xml:space="preserve"> as a distinct run outcome, retries with recorded lineage (747 retries), and emails operational summaries including failure detail.</w:t>
      </w:r>
    </w:p>
    <w:p>
      <w:pPr>
        <w:pStyle w:val="ListParagraph"/>
        <w:numPr>
          <w:ilvl w:val="0"/>
          <w:numId w:val="2"/>
        </w:numPr>
        <w:spacing w:after="40" w:before="40"/>
      </w:pPr>
      <w:r>
        <w:rPr>
          <w:b/>
          <w:bCs/>
          <w:sz w:val="20"/>
          <w:szCs w:val="20"/>
        </w:rPr>
        <w:t xml:space="preserve">Automation of recurring outbound operations.</w:t>
      </w:r>
      <w:r>
        <w:rPr>
          <w:sz w:val="20"/>
          <w:szCs w:val="20"/>
        </w:rPr>
        <w:t xml:space="preserve"> 99.4% of runs auto-triggered (§8.3), addressing manual re-triggering directly.</w:t>
      </w:r>
    </w:p>
    <w:p>
      <w:pPr>
        <w:pStyle w:val="ListParagraph"/>
        <w:numPr>
          <w:ilvl w:val="0"/>
          <w:numId w:val="2"/>
        </w:numPr>
        <w:spacing w:after="40" w:before="40"/>
      </w:pPr>
      <w:r>
        <w:rPr>
          <w:b/>
          <w:bCs/>
          <w:sz w:val="20"/>
          <w:szCs w:val="20"/>
        </w:rPr>
        <w:t xml:space="preserve">Governed approval actually in use.</w:t>
      </w:r>
      <w:r>
        <w:rPr>
          <w:sz w:val="20"/>
          <w:szCs w:val="20"/>
        </w:rPr>
        <w:t xml:space="preserve"> 220 submissions, 206 approvals, 3 rejections, 3 withdrawals (§6) — exercised, not decorative. No approval gate existed before.</w:t>
      </w:r>
    </w:p>
    <w:p>
      <w:pPr>
        <w:pStyle w:val="ListParagraph"/>
        <w:numPr>
          <w:ilvl w:val="0"/>
          <w:numId w:val="2"/>
        </w:numPr>
        <w:spacing w:after="40" w:before="40"/>
      </w:pPr>
      <w:r>
        <w:rPr>
          <w:b/>
          <w:bCs/>
          <w:sz w:val="20"/>
          <w:szCs w:val="20"/>
        </w:rPr>
        <w:t xml:space="preserve">Two legacy systems replaced.</w:t>
      </w:r>
      <w:r>
        <w:rPr>
          <w:sz w:val="20"/>
          <w:szCs w:val="20"/>
        </w:rPr>
        <w:t xml:space="preserve"> Eleven Apps Script flows reimplemented as preset-flow adapters; the </w:t>
      </w:r>
      <w:r>
        <w:rPr>
          <w:rFonts w:ascii="Consolas" w:cs="Consolas" w:eastAsia="Consolas" w:hAnsi="Consolas"/>
          <w:sz w:val="18"/>
          <w:szCs w:val="18"/>
        </w:rPr>
        <w:t xml:space="preserve">iros-mail</w:t>
      </w:r>
      <w:r>
        <w:rPr>
          <w:sz w:val="20"/>
          <w:szCs w:val="20"/>
        </w:rPr>
        <w:t xml:space="preserve"> contract absorbed into UCP (§6, §11).</w:t>
      </w:r>
    </w:p>
    <w:p>
      <w:pPr>
        <w:pStyle w:val="ListParagraph"/>
        <w:numPr>
          <w:ilvl w:val="0"/>
          <w:numId w:val="2"/>
        </w:numPr>
        <w:spacing w:after="40" w:before="40"/>
      </w:pPr>
      <w:r>
        <w:rPr>
          <w:b/>
          <w:bCs/>
          <w:sz w:val="20"/>
          <w:szCs w:val="20"/>
        </w:rPr>
        <w:t xml:space="preserve">Executive reporting delivered.</w:t>
      </w:r>
      <w:r>
        <w:rPr>
          <w:sz w:val="20"/>
          <w:szCs w:val="20"/>
        </w:rPr>
        <w:t xml:space="preserve"> Daily summary, operational report with export, and weekly audit reporting now exist as services.</w:t>
      </w:r>
    </w:p>
    <w:p>
      <w:pPr>
        <w:spacing w:after="140" w:before="60" w:line="276"/>
      </w:pPr>
      <w:r>
        <w:rPr>
          <w:b/>
          <w:bCs/>
          <w:sz w:val="20"/>
          <w:szCs w:val="20"/>
        </w:rPr>
        <w:t xml:space="preserve">Stakeholder recognition.</w:t>
      </w:r>
      <w:r>
        <w:rPr>
          <w:sz w:val="20"/>
          <w:szCs w:val="20"/>
        </w:rPr>
        <w:t xml:space="preserve"> The subject reports being commended on this project by both the CEO and the CTO on several occasions. </w:t>
      </w:r>
      <w:r>
        <w:rPr>
          <w:i/>
          <w:iCs/>
          <w:sz w:val="20"/>
          <w:szCs w:val="20"/>
        </w:rPr>
        <w:t xml:space="preserve">(TESTIMONY — uncorroborated; see §22 for how to make this citable.)</w:t>
      </w:r>
    </w:p>
    <w:p>
      <w:pPr>
        <w:spacing w:after="140" w:before="60" w:line="276"/>
      </w:pPr>
      <w:r>
        <w:rPr>
          <w:b/>
          <w:bCs/>
          <w:sz w:val="20"/>
          <w:szCs w:val="20"/>
        </w:rPr>
        <w:t xml:space="preserve">Not established — do not claim:</w:t>
      </w:r>
      <w:r>
        <w:rPr>
          <w:sz w:val="20"/>
          <w:szCs w:val="20"/>
        </w:rPr>
        <w:t xml:space="preserve"> staff hours saved, cost savings, revenue impact, quantified error-rate reduction, or number of customers previously missed. §3.2 explains </w:t>
      </w:r>
      <w:r>
        <w:rPr>
          <w:i/>
          <w:iCs/>
          <w:sz w:val="20"/>
          <w:szCs w:val="20"/>
        </w:rPr>
        <w:t xml:space="preserve">why</w:t>
      </w:r>
      <w:r>
        <w:rPr>
          <w:sz w:val="20"/>
          <w:szCs w:val="20"/>
        </w:rPr>
        <w:t xml:space="preserve"> these are structurally unavailable: the legacy estate recorded no send-level outcome data to compare against. The qualitative before/after in §3.2 is the honest substitute, and it is well-evidenced.</w:t>
      </w:r>
    </w:p>
    <w:p>
      <w:pPr>
        <w:pStyle w:val="Heading1"/>
        <w:pBdr>
          <w:bottom w:val="single" w:color="BFBFBF" w:sz="6" w:space="6"/>
        </w:pBdr>
        <w:spacing w:after="160" w:before="360"/>
      </w:pPr>
      <w:r>
        <w:rPr>
          <w:b/>
          <w:bCs/>
          <w:color w:val="1F3864"/>
          <w:sz w:val="28"/>
          <w:szCs w:val="28"/>
        </w:rPr>
        <w:t xml:space="preserve">10. Significant Engineering Challenges</w:t>
      </w:r>
    </w:p>
    <w:p>
      <w:pPr>
        <w:spacing w:after="140" w:before="60" w:line="276"/>
      </w:pPr>
      <w:r>
        <w:rPr>
          <w:b/>
          <w:bCs/>
          <w:sz w:val="20"/>
          <w:szCs w:val="20"/>
        </w:rPr>
        <w:t xml:space="preserve">Snapshot reproducibility under mutable configuration.</w:t>
      </w:r>
      <w:r>
        <w:rPr>
          <w:sz w:val="20"/>
          <w:szCs w:val="20"/>
        </w:rPr>
        <w:t xml:space="preserve"> A campaign or template can be edited at any time, but a message sent last month must remain reproducible exactly as rendered. Solved by freezing rendered subject, body, variable values, template version, approval state and audience metadata onto each execution record at run-creation time — so later edits cannot alter in-flight sends or the audit trail. This is harder than it sounds because it requires every downstream view (history, reporting, reconciliation) to read the snapshot rather than the live entity.</w:t>
      </w:r>
    </w:p>
    <w:p>
      <w:pPr>
        <w:spacing w:after="140" w:before="60" w:line="276"/>
      </w:pPr>
      <w:r>
        <w:rPr>
          <w:b/>
          <w:bCs/>
          <w:sz w:val="20"/>
          <w:szCs w:val="20"/>
        </w:rPr>
        <w:t xml:space="preserve">Idempotency across three independent trigger paths.</w:t>
      </w:r>
      <w:r>
        <w:rPr>
          <w:sz w:val="20"/>
          <w:szCs w:val="20"/>
        </w:rPr>
        <w:t xml:space="preserve"> Runs can originate from polling, a schedule, a manual action, or a retry. With a poller firing continuously, at-least-once queue delivery, and schedules that can overlap, duplicate sends are the default failure mode. Addressed with database-level uniqueness — </w:t>
      </w:r>
      <w:r>
        <w:rPr>
          <w:rFonts w:ascii="Consolas" w:cs="Consolas" w:eastAsia="Consolas" w:hAnsi="Consolas"/>
          <w:sz w:val="18"/>
          <w:szCs w:val="18"/>
        </w:rPr>
        <w:t xml:space="preserve">@@unique([campaignId, presetFlowKey, processingDate, dedupeKey])</w:t>
      </w:r>
      <w:r>
        <w:rPr>
          <w:sz w:val="20"/>
          <w:szCs w:val="20"/>
        </w:rPr>
        <w:t xml:space="preserve">, </w:t>
      </w:r>
      <w:r>
        <w:rPr>
          <w:rFonts w:ascii="Consolas" w:cs="Consolas" w:eastAsia="Consolas" w:hAnsi="Consolas"/>
          <w:sz w:val="18"/>
          <w:szCs w:val="18"/>
        </w:rPr>
        <w:t xml:space="preserve">@@unique([scheduleId, scheduledFor])</w:t>
      </w:r>
      <w:r>
        <w:rPr>
          <w:sz w:val="20"/>
          <w:szCs w:val="20"/>
        </w:rPr>
        <w:t xml:space="preserve">, </w:t>
      </w:r>
      <w:r>
        <w:rPr>
          <w:rFonts w:ascii="Consolas" w:cs="Consolas" w:eastAsia="Consolas" w:hAnsi="Consolas"/>
          <w:sz w:val="18"/>
          <w:szCs w:val="18"/>
        </w:rPr>
        <w:t xml:space="preserve">@@unique([campaignId, channel, audienceRowIndex])</w:t>
      </w:r>
      <w:r>
        <w:rPr>
          <w:sz w:val="20"/>
          <w:szCs w:val="20"/>
        </w:rPr>
        <w:t xml:space="preserve"> — making the guarantee structural rather than a code convention. Production bears this out (§8.2).</w:t>
      </w:r>
    </w:p>
    <w:p>
      <w:pPr>
        <w:spacing w:after="140" w:before="60" w:line="276"/>
      </w:pPr>
      <w:r>
        <w:rPr>
          <w:b/>
          <w:bCs/>
          <w:sz w:val="20"/>
          <w:szCs w:val="20"/>
        </w:rPr>
        <w:t xml:space="preserve">Distributed state across systems that disagree.</w:t>
      </w:r>
      <w:r>
        <w:rPr>
          <w:sz w:val="20"/>
          <w:szCs w:val="20"/>
        </w:rPr>
        <w:t xml:space="preserve"> The platform's own execution state and the provider's later view of reality are different things and arrive out of order. 212,492 webhook events reconcile against 85,482 sends. The documentation explicitly requires V1 to </w:t>
      </w:r>
      <w:r>
        <w:rPr>
          <w:i/>
          <w:iCs/>
          <w:sz w:val="20"/>
          <w:szCs w:val="20"/>
        </w:rPr>
        <w:t xml:space="preserve">preserve the distinction</w:t>
      </w:r>
      <w:r>
        <w:rPr>
          <w:sz w:val="20"/>
          <w:szCs w:val="20"/>
        </w:rPr>
        <w:t xml:space="preserve"> between its own state and external provider evidence rather than collapsing them — a deliberate modelling decision in favour of auditability over simplicity.</w:t>
      </w:r>
    </w:p>
    <w:p>
      <w:pPr>
        <w:spacing w:after="140" w:before="60" w:line="276"/>
      </w:pPr>
      <w:r>
        <w:rPr>
          <w:b/>
          <w:bCs/>
          <w:sz w:val="20"/>
          <w:szCs w:val="20"/>
        </w:rPr>
        <w:t xml:space="preserve">Unreliable external dependencies.</w:t>
      </w:r>
      <w:r>
        <w:rPr>
          <w:sz w:val="20"/>
          <w:szCs w:val="20"/>
        </w:rPr>
        <w:t xml:space="preserve"> An external source database is polled continuously (149k runs), with stale-lock handling for crashed pollers, and CM.com failures captured through a dedicated </w:t>
      </w:r>
      <w:r>
        <w:rPr>
          <w:rFonts w:ascii="Consolas" w:cs="Consolas" w:eastAsia="Consolas" w:hAnsi="Consolas"/>
          <w:sz w:val="18"/>
          <w:szCs w:val="18"/>
        </w:rPr>
        <w:t xml:space="preserve">CmRequestFailedError</w:t>
      </w:r>
      <w:r>
        <w:rPr>
          <w:sz w:val="20"/>
          <w:szCs w:val="20"/>
        </w:rPr>
        <w:t xml:space="preserve"> carrying provider context.</w:t>
      </w:r>
    </w:p>
    <w:p>
      <w:pPr>
        <w:spacing w:after="140" w:before="60" w:line="276"/>
      </w:pPr>
      <w:r>
        <w:rPr>
          <w:b/>
          <w:bCs/>
          <w:sz w:val="20"/>
          <w:szCs w:val="20"/>
        </w:rPr>
        <w:t xml:space="preserve">Provider abstraction proven, not theoretical.</w:t>
      </w:r>
      <w:r>
        <w:rPr>
          <w:sz w:val="20"/>
          <w:szCs w:val="20"/>
        </w:rPr>
        <w:t xml:space="preserve"> Five adapters run in production simultaneously (Brevo, SMTP, CM SMS, CM WhatsApp, Console) with per-sender and per-campaign routing.</w:t>
      </w:r>
    </w:p>
    <w:p>
      <w:pPr>
        <w:spacing w:after="140" w:before="60" w:line="276"/>
      </w:pPr>
      <w:r>
        <w:rPr>
          <w:b/>
          <w:bCs/>
          <w:sz w:val="20"/>
          <w:szCs w:val="20"/>
        </w:rPr>
        <w:t xml:space="preserve">Domain complexity.</w:t>
      </w:r>
      <w:r>
        <w:rPr>
          <w:sz w:val="20"/>
          <w:szCs w:val="20"/>
        </w:rPr>
        <w:t xml:space="preserve"> 34 models, 66 migrations, 155 routes, 19 modules — plus channel-aware suppression, throttle windows, blackout periods, per-channel eligibility rules, template variable validation, and per-client rate limits.</w:t>
      </w:r>
    </w:p>
    <w:p>
      <w:pPr>
        <w:pStyle w:val="Heading1"/>
        <w:pBdr>
          <w:bottom w:val="single" w:color="BFBFBF" w:sz="6" w:space="6"/>
        </w:pBdr>
        <w:spacing w:after="160" w:before="360"/>
      </w:pPr>
      <w:r>
        <w:rPr>
          <w:b/>
          <w:bCs/>
          <w:color w:val="1F3864"/>
          <w:sz w:val="28"/>
          <w:szCs w:val="28"/>
        </w:rPr>
        <w:t xml:space="preserve">11. Architectural Decisions and Trade-offs</w:t>
      </w:r>
    </w:p>
    <w:p>
      <w:pPr>
        <w:spacing w:after="140" w:before="60" w:line="276"/>
      </w:pPr>
      <w:r>
        <w:rPr>
          <w:b/>
          <w:bCs/>
          <w:sz w:val="20"/>
          <w:szCs w:val="20"/>
        </w:rPr>
        <w:t xml:space="preserve">Control plane / execution plane split</w:t>
      </w:r>
    </w:p>
    <w:p>
      <w:pPr>
        <w:spacing w:after="140" w:before="60" w:line="276"/>
      </w:pPr>
      <w:r>
        <w:rPr>
          <w:i/>
          <w:iCs/>
          <w:sz w:val="20"/>
          <w:szCs w:val="20"/>
        </w:rPr>
        <w:t xml:space="preserve">Problem:</w:t>
      </w:r>
      <w:r>
        <w:rPr>
          <w:sz w:val="20"/>
          <w:szCs w:val="20"/>
        </w:rPr>
        <w:t xml:space="preserve"> mutable campaign config versus immutable sent-message evidence.</w:t>
      </w:r>
    </w:p>
    <w:p>
      <w:pPr>
        <w:spacing w:after="140" w:before="60" w:line="276"/>
      </w:pPr>
      <w:r>
        <w:rPr>
          <w:i/>
          <w:iCs/>
          <w:sz w:val="20"/>
          <w:szCs w:val="20"/>
        </w:rPr>
        <w:t xml:space="preserve">Decision:</w:t>
      </w:r>
      <w:r>
        <w:rPr>
          <w:sz w:val="20"/>
          <w:szCs w:val="20"/>
        </w:rPr>
        <w:t xml:space="preserve"> separate entities; freeze a run from approved state.</w:t>
      </w:r>
    </w:p>
    <w:p>
      <w:pPr>
        <w:spacing w:after="140" w:before="60" w:line="276"/>
      </w:pPr>
      <w:r>
        <w:rPr>
          <w:i/>
          <w:iCs/>
          <w:sz w:val="20"/>
          <w:szCs w:val="20"/>
        </w:rPr>
        <w:t xml:space="preserve">Trade-off:</w:t>
      </w:r>
      <w:r>
        <w:rPr>
          <w:sz w:val="20"/>
          <w:szCs w:val="20"/>
        </w:rPr>
        <w:t xml:space="preserve"> significant data duplication (85,619 recipient rows each carrying rendered content) and more complex queries.</w:t>
      </w:r>
    </w:p>
    <w:p>
      <w:pPr>
        <w:spacing w:after="140" w:before="60" w:line="276"/>
      </w:pPr>
      <w:r>
        <w:rPr>
          <w:i/>
          <w:iCs/>
          <w:sz w:val="20"/>
          <w:szCs w:val="20"/>
        </w:rPr>
        <w:t xml:space="preserve">Result:</w:t>
      </w:r>
      <w:r>
        <w:rPr>
          <w:sz w:val="20"/>
          <w:szCs w:val="20"/>
        </w:rPr>
        <w:t xml:space="preserve"> every send reproducible; 917 snapshots and full audit chain in production.</w:t>
      </w:r>
    </w:p>
    <w:p>
      <w:pPr>
        <w:spacing w:after="140" w:before="60" w:line="276"/>
      </w:pPr>
      <w:r>
        <w:rPr>
          <w:b/>
          <w:bCs/>
          <w:sz w:val="20"/>
          <w:szCs w:val="20"/>
        </w:rPr>
        <w:t xml:space="preserve">Queue-backed execution (Azure Service Bus)</w:t>
      </w:r>
    </w:p>
    <w:p>
      <w:pPr>
        <w:spacing w:after="140" w:before="60" w:line="276"/>
      </w:pPr>
      <w:r>
        <w:rPr>
          <w:i/>
          <w:iCs/>
          <w:sz w:val="20"/>
          <w:szCs w:val="20"/>
        </w:rPr>
        <w:t xml:space="preserve">Problem:</w:t>
      </w:r>
      <w:r>
        <w:rPr>
          <w:sz w:val="20"/>
          <w:szCs w:val="20"/>
        </w:rPr>
        <w:t xml:space="preserve"> HTTP request lifecycle cannot own delivery of thousands of messages.</w:t>
      </w:r>
    </w:p>
    <w:p>
      <w:pPr>
        <w:spacing w:after="140" w:before="60" w:line="276"/>
      </w:pPr>
      <w:r>
        <w:rPr>
          <w:i/>
          <w:iCs/>
          <w:sz w:val="20"/>
          <w:szCs w:val="20"/>
        </w:rPr>
        <w:t xml:space="preserve">Decision:</w:t>
      </w:r>
      <w:r>
        <w:rPr>
          <w:sz w:val="20"/>
          <w:szCs w:val="20"/>
        </w:rPr>
        <w:t xml:space="preserve"> enqueue per recipient; a processor invokes the adapter. Stated as a non-negotiable boundary.</w:t>
      </w:r>
    </w:p>
    <w:p>
      <w:pPr>
        <w:spacing w:after="140" w:before="60" w:line="276"/>
      </w:pPr>
      <w:r>
        <w:rPr>
          <w:i/>
          <w:iCs/>
          <w:sz w:val="20"/>
          <w:szCs w:val="20"/>
        </w:rPr>
        <w:t xml:space="preserve">Trade-off:</w:t>
      </w:r>
      <w:r>
        <w:rPr>
          <w:sz w:val="20"/>
          <w:szCs w:val="20"/>
        </w:rPr>
        <w:t xml:space="preserve"> at-least-once semantics force idempotency work; operational surface grows.</w:t>
      </w:r>
    </w:p>
    <w:p>
      <w:pPr>
        <w:spacing w:after="140" w:before="60" w:line="276"/>
      </w:pPr>
      <w:r>
        <w:rPr>
          <w:i/>
          <w:iCs/>
          <w:sz w:val="20"/>
          <w:szCs w:val="20"/>
        </w:rPr>
        <w:t xml:space="preserve">Result:</w:t>
      </w:r>
      <w:r>
        <w:rPr>
          <w:sz w:val="20"/>
          <w:szCs w:val="20"/>
        </w:rPr>
        <w:t xml:space="preserve"> 1,598-message peak day handled; 5,261 runs with 4 cancellations.</w:t>
      </w:r>
    </w:p>
    <w:p>
      <w:pPr>
        <w:spacing w:after="140" w:before="60" w:line="276"/>
      </w:pPr>
      <w:r>
        <w:rPr>
          <w:b/>
          <w:bCs/>
          <w:sz w:val="20"/>
          <w:szCs w:val="20"/>
        </w:rPr>
        <w:t xml:space="preserve">Modular monolith over microservices</w:t>
      </w:r>
    </w:p>
    <w:p>
      <w:pPr>
        <w:spacing w:after="140" w:before="60" w:line="276"/>
      </w:pPr>
      <w:r>
        <w:rPr>
          <w:i/>
          <w:iCs/>
          <w:sz w:val="20"/>
          <w:szCs w:val="20"/>
        </w:rPr>
        <w:t xml:space="preserve">Decision:</w:t>
      </w:r>
      <w:r>
        <w:rPr>
          <w:sz w:val="20"/>
          <w:szCs w:val="20"/>
        </w:rPr>
        <w:t xml:space="preserve"> 19 NestJS modules with explicit boundaries, one deployable.</w:t>
      </w:r>
    </w:p>
    <w:p>
      <w:pPr>
        <w:spacing w:after="140" w:before="60" w:line="276"/>
      </w:pPr>
      <w:r>
        <w:rPr>
          <w:i/>
          <w:iCs/>
          <w:sz w:val="20"/>
          <w:szCs w:val="20"/>
        </w:rPr>
        <w:t xml:space="preserve">Trade-off:</w:t>
      </w:r>
      <w:r>
        <w:rPr>
          <w:sz w:val="20"/>
          <w:szCs w:val="20"/>
        </w:rPr>
        <w:t xml:space="preserve"> one large service — </w:t>
      </w:r>
      <w:r>
        <w:rPr>
          <w:rFonts w:ascii="Consolas" w:cs="Consolas" w:eastAsia="Consolas" w:hAnsi="Consolas"/>
          <w:sz w:val="18"/>
          <w:szCs w:val="18"/>
        </w:rPr>
        <w:t xml:space="preserve">campaign-execution.service.ts</w:t>
      </w:r>
      <w:r>
        <w:rPr>
          <w:sz w:val="20"/>
          <w:szCs w:val="20"/>
        </w:rPr>
        <w:t xml:space="preserve"> is 10,463 lines, which is a real maintainability cost and the clearest refactoring candidate in the codebase.</w:t>
      </w:r>
    </w:p>
    <w:p>
      <w:pPr>
        <w:spacing w:after="140" w:before="60" w:line="276"/>
      </w:pPr>
      <w:r>
        <w:rPr>
          <w:i/>
          <w:iCs/>
          <w:sz w:val="20"/>
          <w:szCs w:val="20"/>
        </w:rPr>
        <w:t xml:space="preserve">Result:</w:t>
      </w:r>
      <w:r>
        <w:rPr>
          <w:sz w:val="20"/>
          <w:szCs w:val="20"/>
        </w:rPr>
        <w:t xml:space="preserve"> deployable by a single engineer; the boundaries exist for later extraction.</w:t>
      </w:r>
    </w:p>
    <w:p>
      <w:pPr>
        <w:spacing w:after="140" w:before="60" w:line="276"/>
      </w:pPr>
      <w:r>
        <w:rPr>
          <w:b/>
          <w:bCs/>
          <w:sz w:val="20"/>
          <w:szCs w:val="20"/>
        </w:rPr>
        <w:t xml:space="preserve">Idempotency in the database, not the application</w:t>
      </w:r>
      <w:r>
        <w:rPr>
          <w:sz w:val="20"/>
          <w:szCs w:val="20"/>
        </w:rPr>
        <w:t xml:space="preserve"> — covered in §10.</w:t>
      </w:r>
    </w:p>
    <w:p>
      <w:pPr>
        <w:spacing w:after="140" w:before="60" w:line="276"/>
      </w:pPr>
      <w:r>
        <w:rPr>
          <w:b/>
          <w:bCs/>
          <w:sz w:val="20"/>
          <w:szCs w:val="20"/>
        </w:rPr>
        <w:t xml:space="preserve">Backwards-compatible API contract to enable migration</w:t>
      </w:r>
    </w:p>
    <w:p>
      <w:pPr>
        <w:spacing w:after="140" w:before="60" w:line="276"/>
      </w:pPr>
      <w:r>
        <w:rPr>
          <w:i/>
          <w:iCs/>
          <w:sz w:val="20"/>
          <w:szCs w:val="20"/>
        </w:rPr>
        <w:t xml:space="preserve">Problem:</w:t>
      </w:r>
      <w:r>
        <w:rPr>
          <w:sz w:val="20"/>
          <w:szCs w:val="20"/>
        </w:rPr>
        <w:t xml:space="preserve"> the strategic goal — every company communication through one platform — fails if each calling system must be rewritten to adopt it. Adoption friction, not capability, was the binding constraint.</w:t>
      </w:r>
    </w:p>
    <w:p>
      <w:pPr>
        <w:spacing w:after="140" w:before="60" w:line="276"/>
      </w:pPr>
      <w:r>
        <w:rPr>
          <w:i/>
          <w:iCs/>
          <w:sz w:val="20"/>
          <w:szCs w:val="20"/>
        </w:rPr>
        <w:t xml:space="preserve">Decision:</w:t>
      </w:r>
      <w:r>
        <w:rPr>
          <w:sz w:val="20"/>
          <w:szCs w:val="20"/>
        </w:rPr>
        <w:t xml:space="preserve"> reimplement the legacy </w:t>
      </w:r>
      <w:r>
        <w:rPr>
          <w:rFonts w:ascii="Consolas" w:cs="Consolas" w:eastAsia="Consolas" w:hAnsi="Consolas"/>
          <w:sz w:val="18"/>
          <w:szCs w:val="18"/>
        </w:rPr>
        <w:t xml:space="preserve">iros-mail</w:t>
      </w:r>
      <w:r>
        <w:rPr>
          <w:sz w:val="20"/>
          <w:szCs w:val="20"/>
        </w:rPr>
        <w:t xml:space="preserve"> HTTP contract verbatim inside UCP (</w:t>
      </w:r>
      <w:r>
        <w:rPr>
          <w:rFonts w:ascii="Consolas" w:cs="Consolas" w:eastAsia="Consolas" w:hAnsi="Consolas"/>
          <w:sz w:val="18"/>
          <w:szCs w:val="18"/>
        </w:rPr>
        <w:t xml:space="preserve">POST /api/mail</w:t>
      </w:r>
      <w:r>
        <w:rPr>
          <w:sz w:val="20"/>
          <w:szCs w:val="20"/>
        </w:rPr>
        <w:t xml:space="preserve">, bearer-key auth, identical field names) while discarding its EJS/local-microservice internals; then extend the same pattern to </w:t>
      </w:r>
      <w:r>
        <w:rPr>
          <w:rFonts w:ascii="Consolas" w:cs="Consolas" w:eastAsia="Consolas" w:hAnsi="Consolas"/>
          <w:sz w:val="18"/>
          <w:szCs w:val="18"/>
        </w:rPr>
        <w:t xml:space="preserve">/api/sms</w:t>
      </w:r>
      <w:r>
        <w:rPr>
          <w:sz w:val="20"/>
          <w:szCs w:val="20"/>
        </w:rPr>
        <w:t xml:space="preserve"> and </w:t>
      </w:r>
      <w:r>
        <w:rPr>
          <w:rFonts w:ascii="Consolas" w:cs="Consolas" w:eastAsia="Consolas" w:hAnsi="Consolas"/>
          <w:sz w:val="18"/>
          <w:szCs w:val="18"/>
        </w:rPr>
        <w:t xml:space="preserve">/api/whatsapp</w:t>
      </w:r>
      <w:r>
        <w:rPr>
          <w:sz w:val="20"/>
          <w:szCs w:val="20"/>
        </w:rPr>
        <w:t xml:space="preserve">.</w:t>
      </w:r>
    </w:p>
    <w:p>
      <w:pPr>
        <w:spacing w:after="140" w:before="60" w:line="276"/>
      </w:pPr>
      <w:r>
        <w:rPr>
          <w:i/>
          <w:iCs/>
          <w:sz w:val="20"/>
          <w:szCs w:val="20"/>
        </w:rPr>
        <w:t xml:space="preserve">Reasoning:</w:t>
      </w:r>
      <w:r>
        <w:rPr>
          <w:sz w:val="20"/>
          <w:szCs w:val="20"/>
        </w:rPr>
        <w:t xml:space="preserve"> callers repoint a base URL instead of rewriting an integration, so consolidation can proceed incrementally rather than as a coordinated cutover.</w:t>
      </w:r>
    </w:p>
    <w:p>
      <w:pPr>
        <w:spacing w:after="140" w:before="60" w:line="276"/>
      </w:pPr>
      <w:r>
        <w:rPr>
          <w:i/>
          <w:iCs/>
          <w:sz w:val="20"/>
          <w:szCs w:val="20"/>
        </w:rPr>
        <w:t xml:space="preserve">Trade-off:</w:t>
      </w:r>
      <w:r>
        <w:rPr>
          <w:sz w:val="20"/>
          <w:szCs w:val="20"/>
        </w:rPr>
        <w:t xml:space="preserve"> legacy field shapes (</w:t>
      </w:r>
      <w:r>
        <w:rPr>
          <w:rFonts w:ascii="Consolas" w:cs="Consolas" w:eastAsia="Consolas" w:hAnsi="Consolas"/>
          <w:sz w:val="18"/>
          <w:szCs w:val="18"/>
        </w:rPr>
        <w:t xml:space="preserve">mjml</w:t>
      </w:r>
      <w:r>
        <w:rPr>
          <w:sz w:val="20"/>
          <w:szCs w:val="20"/>
        </w:rPr>
        <w:t xml:space="preserve">, </w:t>
      </w:r>
      <w:r>
        <w:rPr>
          <w:rFonts w:ascii="Consolas" w:cs="Consolas" w:eastAsia="Consolas" w:hAnsi="Consolas"/>
          <w:sz w:val="18"/>
          <w:szCs w:val="18"/>
        </w:rPr>
        <w:t xml:space="preserve">processAt</w:t>
      </w:r>
      <w:r>
        <w:rPr>
          <w:sz w:val="20"/>
          <w:szCs w:val="20"/>
        </w:rPr>
        <w:t xml:space="preserve">, </w:t>
      </w:r>
      <w:r>
        <w:rPr>
          <w:rFonts w:ascii="Consolas" w:cs="Consolas" w:eastAsia="Consolas" w:hAnsi="Consolas"/>
          <w:sz w:val="18"/>
          <w:szCs w:val="18"/>
        </w:rPr>
        <w:t xml:space="preserve">attachment</w:t>
      </w:r>
      <w:r>
        <w:rPr>
          <w:sz w:val="20"/>
          <w:szCs w:val="20"/>
        </w:rPr>
        <w:t xml:space="preserve">) are carried into a new system's public contract and will constrain it for as long as those clients exist — real long-term design debt accepted for short-term migration velocity.</w:t>
      </w:r>
    </w:p>
    <w:p>
      <w:pPr>
        <w:spacing w:after="140" w:before="60" w:line="276"/>
      </w:pPr>
      <w:r>
        <w:rPr>
          <w:i/>
          <w:iCs/>
          <w:sz w:val="20"/>
          <w:szCs w:val="20"/>
        </w:rPr>
        <w:t xml:space="preserve">Result:</w:t>
      </w:r>
      <w:r>
        <w:rPr>
          <w:sz w:val="20"/>
          <w:szCs w:val="20"/>
        </w:rPr>
        <w:t xml:space="preserve"> 22 registered clients and 18,113 emails, with monthly volume growing 47 → 7,075 in four months (§8.4). This is the decision that converted a stated strategic goal into measured adoption.</w:t>
      </w:r>
    </w:p>
    <w:p>
      <w:pPr>
        <w:spacing w:after="140" w:before="60" w:line="276"/>
      </w:pPr>
      <w:r>
        <w:rPr>
          <w:b/>
          <w:bCs/>
          <w:sz w:val="20"/>
          <w:szCs w:val="20"/>
        </w:rPr>
        <w:t xml:space="preserve">Lovable for UI scaffolding only</w:t>
      </w:r>
    </w:p>
    <w:p>
      <w:pPr>
        <w:spacing w:after="140" w:before="60" w:line="276"/>
      </w:pPr>
      <w:r>
        <w:rPr>
          <w:i/>
          <w:iCs/>
          <w:sz w:val="20"/>
          <w:szCs w:val="20"/>
        </w:rPr>
        <w:t xml:space="preserve">Decision:</w:t>
      </w:r>
      <w:r>
        <w:rPr>
          <w:sz w:val="20"/>
          <w:szCs w:val="20"/>
        </w:rPr>
        <w:t xml:space="preserve"> </w:t>
      </w:r>
      <w:r>
        <w:rPr>
          <w:rFonts w:ascii="Consolas" w:cs="Consolas" w:eastAsia="Consolas" w:hAnsi="Consolas"/>
          <w:sz w:val="18"/>
          <w:szCs w:val="18"/>
        </w:rPr>
        <w:t xml:space="preserve">AGENTS.md</w:t>
      </w:r>
      <w:r>
        <w:rPr>
          <w:sz w:val="20"/>
          <w:szCs w:val="20"/>
        </w:rPr>
        <w:t xml:space="preserve"> mandates using Lovable to accelerate UI scaffolding and "never as the owner of business logic or auth."</w:t>
      </w:r>
    </w:p>
    <w:p>
      <w:pPr>
        <w:spacing w:after="140" w:before="60" w:line="276"/>
      </w:pPr>
      <w:r>
        <w:rPr>
          <w:i/>
          <w:iCs/>
          <w:sz w:val="20"/>
          <w:szCs w:val="20"/>
        </w:rPr>
        <w:t xml:space="preserve">Result:</w:t>
      </w:r>
      <w:r>
        <w:rPr>
          <w:sz w:val="20"/>
          <w:szCs w:val="20"/>
        </w:rPr>
        <w:t xml:space="preserve"> bot activity stops after one week (28 Apr); all later frontend work is hand-directed. The boundary held.</w:t>
      </w:r>
    </w:p>
    <w:p>
      <w:pPr>
        <w:pStyle w:val="Heading1"/>
        <w:pBdr>
          <w:bottom w:val="single" w:color="BFBFBF" w:sz="6" w:space="6"/>
        </w:pBdr>
        <w:spacing w:after="160" w:before="360"/>
      </w:pPr>
      <w:r>
        <w:rPr>
          <w:b/>
          <w:bCs/>
          <w:color w:val="1F3864"/>
          <w:sz w:val="28"/>
          <w:szCs w:val="28"/>
        </w:rPr>
        <w:t xml:space="preserve">12. Problems Solved</w:t>
      </w:r>
    </w:p>
    <w:p>
      <w:pPr>
        <w:pStyle w:val="Heading2"/>
        <w:spacing w:after="120" w:before="260"/>
      </w:pPr>
      <w:r>
        <w:rPr>
          <w:b/>
          <w:bCs/>
          <w:color w:val="1F3864"/>
          <w:sz w:val="23"/>
          <w:szCs w:val="23"/>
        </w:rPr>
        <w:t xml:space="preserve">UK date format silently flipping in customer communications</w:t>
      </w:r>
    </w:p>
    <w:p>
      <w:pPr>
        <w:spacing w:after="140" w:before="60" w:line="276"/>
      </w:pPr>
      <w:r>
        <w:rPr>
          <w:b/>
          <w:bCs/>
          <w:sz w:val="20"/>
          <w:szCs w:val="20"/>
        </w:rPr>
        <w:t xml:space="preserve">Situation.</w:t>
      </w:r>
      <w:r>
        <w:rPr>
          <w:sz w:val="20"/>
          <w:szCs w:val="20"/>
        </w:rPr>
        <w:t xml:space="preserve"> Legacy preset flows map source rows into template variables, including cancellation and due dates, for customer-facing insurance emails.</w:t>
      </w:r>
    </w:p>
    <w:p>
      <w:pPr>
        <w:spacing w:after="140" w:before="60" w:line="276"/>
      </w:pPr>
      <w:r>
        <w:rPr>
          <w:b/>
          <w:bCs/>
          <w:sz w:val="20"/>
          <w:szCs w:val="20"/>
        </w:rPr>
        <w:t xml:space="preserve">Problem.</w:t>
      </w:r>
      <w:r>
        <w:rPr>
          <w:sz w:val="20"/>
          <w:szCs w:val="20"/>
        </w:rPr>
        <w:t xml:space="preserve"> The original helper used </w:t>
      </w:r>
      <w:r>
        <w:rPr>
          <w:rFonts w:ascii="Consolas" w:cs="Consolas" w:eastAsia="Consolas" w:hAnsi="Consolas"/>
          <w:sz w:val="18"/>
          <w:szCs w:val="18"/>
        </w:rPr>
        <w:t xml:space="preserve">new Date(value)</w:t>
      </w:r>
      <w:r>
        <w:rPr>
          <w:sz w:val="20"/>
          <w:szCs w:val="20"/>
        </w:rPr>
        <w:t xml:space="preserve">. For a </w:t>
      </w:r>
      <w:r>
        <w:rPr>
          <w:rFonts w:ascii="Consolas" w:cs="Consolas" w:eastAsia="Consolas" w:hAnsi="Consolas"/>
          <w:sz w:val="18"/>
          <w:szCs w:val="18"/>
        </w:rPr>
        <w:t xml:space="preserve">dd/MM/yyyy</w:t>
      </w:r>
      <w:r>
        <w:rPr>
          <w:sz w:val="20"/>
          <w:szCs w:val="20"/>
        </w:rPr>
        <w:t xml:space="preserve"> string, JavaScript's parser applies US </w:t>
      </w:r>
      <w:r>
        <w:rPr>
          <w:rFonts w:ascii="Consolas" w:cs="Consolas" w:eastAsia="Consolas" w:hAnsi="Consolas"/>
          <w:sz w:val="18"/>
          <w:szCs w:val="18"/>
        </w:rPr>
        <w:t xml:space="preserve">MM/dd</w:t>
      </w:r>
      <w:r>
        <w:rPr>
          <w:sz w:val="20"/>
          <w:szCs w:val="20"/>
        </w:rPr>
        <w:t xml:space="preserve">, so 5 August silently became 8 May. Values below 13 flip silently; above 12 they don't — so the bug is invisible for most of any given month and only wrong for part of it.</w:t>
      </w:r>
    </w:p>
    <w:p>
      <w:pPr>
        <w:spacing w:after="140" w:before="60" w:line="276"/>
      </w:pPr>
      <w:r>
        <w:rPr>
          <w:b/>
          <w:bCs/>
          <w:sz w:val="20"/>
          <w:szCs w:val="20"/>
        </w:rPr>
        <w:t xml:space="preserve">Investigation.</w:t>
      </w:r>
      <w:r>
        <w:rPr>
          <w:sz w:val="20"/>
          <w:szCs w:val="20"/>
        </w:rPr>
        <w:t xml:space="preserve"> Traced to a private </w:t>
      </w:r>
      <w:r>
        <w:rPr>
          <w:rFonts w:ascii="Consolas" w:cs="Consolas" w:eastAsia="Consolas" w:hAnsi="Consolas"/>
          <w:sz w:val="18"/>
          <w:szCs w:val="18"/>
        </w:rPr>
        <w:t xml:space="preserve">toLegacyDateString</w:t>
      </w:r>
      <w:r>
        <w:rPr>
          <w:sz w:val="20"/>
          <w:szCs w:val="20"/>
        </w:rPr>
        <w:t xml:space="preserve"> helper duplicated in the variable mapper.</w:t>
      </w:r>
    </w:p>
    <w:p>
      <w:pPr>
        <w:spacing w:after="140" w:before="60" w:line="276"/>
      </w:pPr>
      <w:r>
        <w:rPr>
          <w:b/>
          <w:bCs/>
          <w:sz w:val="20"/>
          <w:szCs w:val="20"/>
        </w:rPr>
        <w:t xml:space="preserve">Solution.</w:t>
      </w:r>
      <w:r>
        <w:rPr>
          <w:sz w:val="20"/>
          <w:szCs w:val="20"/>
        </w:rPr>
        <w:t xml:space="preserve"> Explicit Luxon parsing with a declared format, lifted into a shared </w:t>
      </w:r>
      <w:r>
        <w:rPr>
          <w:rFonts w:ascii="Consolas" w:cs="Consolas" w:eastAsia="Consolas" w:hAnsi="Consolas"/>
          <w:sz w:val="18"/>
          <w:szCs w:val="18"/>
        </w:rPr>
        <w:t xml:space="preserve">legacy-flow.helpers.ts</w:t>
      </w:r>
      <w:r>
        <w:rPr>
          <w:sz w:val="20"/>
          <w:szCs w:val="20"/>
        </w:rPr>
        <w:t xml:space="preserve">, plus a regression test named for the failure mode: </w:t>
      </w:r>
      <w:r>
        <w:rPr>
          <w:i/>
          <w:iCs/>
          <w:sz w:val="20"/>
          <w:szCs w:val="20"/>
        </w:rPr>
        <w:t xml:space="preserve">"preserves dd/MM/yyyy cancellation dates for rta7 emails without month-day flipping"</w:t>
      </w:r>
      <w:r>
        <w:rPr>
          <w:sz w:val="20"/>
          <w:szCs w:val="20"/>
        </w:rPr>
        <w:t xml:space="preserve">.</w:t>
      </w:r>
    </w:p>
    <w:p>
      <w:pPr>
        <w:spacing w:after="140" w:before="60" w:line="276"/>
      </w:pPr>
      <w:r>
        <w:rPr>
          <w:b/>
          <w:bCs/>
          <w:sz w:val="20"/>
          <w:szCs w:val="20"/>
        </w:rPr>
        <w:t xml:space="preserve">Result.</w:t>
      </w:r>
      <w:r>
        <w:rPr>
          <w:sz w:val="20"/>
          <w:szCs w:val="20"/>
        </w:rPr>
        <w:t xml:space="preserve"> Commit </w:t>
      </w:r>
      <w:r>
        <w:rPr>
          <w:rFonts w:ascii="Consolas" w:cs="Consolas" w:eastAsia="Consolas" w:hAnsi="Consolas"/>
          <w:sz w:val="18"/>
          <w:szCs w:val="18"/>
        </w:rPr>
        <w:t xml:space="preserve">22d52e0</w:t>
      </w:r>
      <w:r>
        <w:rPr>
          <w:sz w:val="20"/>
          <w:szCs w:val="20"/>
        </w:rPr>
        <w:t xml:space="preserve">, 18 Aug 2026 — 146 insertions, 30 deletions across 3 files, 98 of them test code.</w:t>
      </w:r>
    </w:p>
    <w:p>
      <w:pPr>
        <w:spacing w:after="140" w:before="60" w:line="276"/>
      </w:pPr>
      <w:r>
        <w:rPr>
          <w:b/>
          <w:bCs/>
          <w:sz w:val="20"/>
          <w:szCs w:val="20"/>
        </w:rPr>
        <w:t xml:space="preserve">Evidence.</w:t>
      </w:r>
      <w:r>
        <w:rPr>
          <w:sz w:val="20"/>
          <w:szCs w:val="20"/>
        </w:rPr>
        <w:t xml:space="preserve"> VERIFIED — commit diff and test.</w:t>
      </w:r>
    </w:p>
    <w:p>
      <w:pPr>
        <w:spacing w:after="140" w:before="60" w:line="276"/>
      </w:pPr>
      <w:r>
        <w:rPr>
          <w:i/>
          <w:iCs/>
          <w:sz w:val="20"/>
          <w:szCs w:val="20"/>
        </w:rPr>
        <w:t xml:space="preserve">Why this is a strong interview story: it is a correctness bug with regulatory consequence, invisible to type checking, invisible for over half of any month, and fixed with a named regression test rather than a patch.</w:t>
      </w:r>
    </w:p>
    <w:p>
      <w:pPr>
        <w:pStyle w:val="Heading2"/>
        <w:spacing w:after="120" w:before="260"/>
      </w:pPr>
      <w:r>
        <w:rPr>
          <w:b/>
          <w:bCs/>
          <w:color w:val="1F3864"/>
          <w:sz w:val="23"/>
          <w:szCs w:val="23"/>
        </w:rPr>
        <w:t xml:space="preserve">Duplicate source keys crashing the sync</w:t>
      </w:r>
    </w:p>
    <w:p>
      <w:pPr>
        <w:spacing w:after="140" w:before="60" w:line="276"/>
      </w:pPr>
      <w:r>
        <w:rPr>
          <w:b/>
          <w:bCs/>
          <w:sz w:val="20"/>
          <w:szCs w:val="20"/>
        </w:rPr>
        <w:t xml:space="preserve">Situation.</w:t>
      </w:r>
      <w:r>
        <w:rPr>
          <w:sz w:val="20"/>
          <w:szCs w:val="20"/>
        </w:rPr>
        <w:t xml:space="preserve"> Preset SQL flows pull batches from an external source database.</w:t>
      </w:r>
    </w:p>
    <w:p>
      <w:pPr>
        <w:spacing w:after="140" w:before="60" w:line="276"/>
      </w:pPr>
      <w:r>
        <w:rPr>
          <w:b/>
          <w:bCs/>
          <w:sz w:val="20"/>
          <w:szCs w:val="20"/>
        </w:rPr>
        <w:t xml:space="preserve">Problem.</w:t>
      </w:r>
      <w:r>
        <w:rPr>
          <w:sz w:val="20"/>
          <w:szCs w:val="20"/>
        </w:rPr>
        <w:t xml:space="preserve"> A batch could contain two rows producing the same dedupe key; the unique constraint then aborted the whole sync — the constraint protecting against duplicates was taking down the job.</w:t>
      </w:r>
    </w:p>
    <w:p>
      <w:pPr>
        <w:spacing w:after="140" w:before="60" w:line="276"/>
      </w:pPr>
      <w:r>
        <w:rPr>
          <w:b/>
          <w:bCs/>
          <w:sz w:val="20"/>
          <w:szCs w:val="20"/>
        </w:rPr>
        <w:t xml:space="preserve">Solution.</w:t>
      </w:r>
      <w:r>
        <w:rPr>
          <w:sz w:val="20"/>
          <w:szCs w:val="20"/>
        </w:rPr>
        <w:t xml:space="preserve"> Duplicate-tolerant handling in </w:t>
      </w:r>
      <w:r>
        <w:rPr>
          <w:rFonts w:ascii="Consolas" w:cs="Consolas" w:eastAsia="Consolas" w:hAnsi="Consolas"/>
          <w:sz w:val="18"/>
          <w:szCs w:val="18"/>
        </w:rPr>
        <w:t xml:space="preserve">syncSourceItems</w:t>
      </w:r>
      <w:r>
        <w:rPr>
          <w:sz w:val="20"/>
          <w:szCs w:val="20"/>
        </w:rPr>
        <w:t xml:space="preserve">, with a test: </w:t>
      </w:r>
      <w:r>
        <w:rPr>
          <w:i/>
          <w:iCs/>
          <w:sz w:val="20"/>
          <w:szCs w:val="20"/>
        </w:rPr>
        <w:t xml:space="preserve">"does not crash when a sync batch contains duplicate outstanding payment dedupe keys."</w:t>
      </w:r>
    </w:p>
    <w:p>
      <w:pPr>
        <w:spacing w:after="140" w:before="60" w:line="276"/>
      </w:pPr>
      <w:r>
        <w:rPr>
          <w:b/>
          <w:bCs/>
          <w:sz w:val="20"/>
          <w:szCs w:val="20"/>
        </w:rPr>
        <w:t xml:space="preserve">Result.</w:t>
      </w:r>
      <w:r>
        <w:rPr>
          <w:sz w:val="20"/>
          <w:szCs w:val="20"/>
        </w:rPr>
        <w:t xml:space="preserve"> Commit, 14 Jun 2026. Production now shows 149,065 successful runs against 256 failures.</w:t>
      </w:r>
    </w:p>
    <w:p>
      <w:pPr>
        <w:spacing w:after="140" w:before="60" w:line="276"/>
      </w:pPr>
      <w:r>
        <w:rPr>
          <w:b/>
          <w:bCs/>
          <w:sz w:val="20"/>
          <w:szCs w:val="20"/>
        </w:rPr>
        <w:t xml:space="preserve">Evidence.</w:t>
      </w:r>
      <w:r>
        <w:rPr>
          <w:sz w:val="20"/>
          <w:szCs w:val="20"/>
        </w:rPr>
        <w:t xml:space="preserve"> VERIFIED — commit diff; production counts.</w:t>
      </w:r>
    </w:p>
    <w:p>
      <w:pPr>
        <w:pStyle w:val="Heading2"/>
        <w:spacing w:after="120" w:before="260"/>
      </w:pPr>
      <w:r>
        <w:rPr>
          <w:b/>
          <w:bCs/>
          <w:color w:val="1F3864"/>
          <w:sz w:val="23"/>
          <w:szCs w:val="23"/>
        </w:rPr>
        <w:t xml:space="preserve">Circular foreign keys blocking database restore</w:t>
      </w:r>
    </w:p>
    <w:p>
      <w:pPr>
        <w:spacing w:after="140" w:before="60" w:line="276"/>
      </w:pPr>
      <w:r>
        <w:rPr>
          <w:b/>
          <w:bCs/>
          <w:sz w:val="20"/>
          <w:szCs w:val="20"/>
        </w:rPr>
        <w:t xml:space="preserve">Problem.</w:t>
      </w:r>
      <w:r>
        <w:rPr>
          <w:sz w:val="20"/>
          <w:szCs w:val="20"/>
        </w:rPr>
        <w:t xml:space="preserve"> </w:t>
      </w:r>
      <w:r>
        <w:rPr>
          <w:rFonts w:ascii="Consolas" w:cs="Consolas" w:eastAsia="Consolas" w:hAnsi="Consolas"/>
          <w:sz w:val="18"/>
          <w:szCs w:val="18"/>
        </w:rPr>
        <w:t xml:space="preserve">Template.currentVersionId</w:t>
      </w:r>
      <w:r>
        <w:rPr>
          <w:sz w:val="20"/>
          <w:szCs w:val="20"/>
        </w:rPr>
        <w:t xml:space="preserve">, </w:t>
      </w:r>
      <w:r>
        <w:rPr>
          <w:rFonts w:ascii="Consolas" w:cs="Consolas" w:eastAsia="Consolas" w:hAnsi="Consolas"/>
          <w:sz w:val="18"/>
          <w:szCs w:val="18"/>
        </w:rPr>
        <w:t xml:space="preserve">User.departmentId</w:t>
      </w:r>
      <w:r>
        <w:rPr>
          <w:sz w:val="20"/>
          <w:szCs w:val="20"/>
        </w:rPr>
        <w:t xml:space="preserve">, and two </w:t>
      </w:r>
      <w:r>
        <w:rPr>
          <w:rFonts w:ascii="Consolas" w:cs="Consolas" w:eastAsia="Consolas" w:hAnsi="Consolas"/>
          <w:sz w:val="18"/>
          <w:szCs w:val="18"/>
        </w:rPr>
        <w:t xml:space="preserve">Department</w:t>
      </w:r>
      <w:r>
        <w:rPr>
          <w:sz w:val="20"/>
          <w:szCs w:val="20"/>
        </w:rPr>
        <w:t xml:space="preserve"> self-references form cycles that defeat ordered restore.</w:t>
      </w:r>
    </w:p>
    <w:p>
      <w:pPr>
        <w:spacing w:after="140" w:before="60" w:line="276"/>
      </w:pPr>
      <w:r>
        <w:rPr>
          <w:b/>
          <w:bCs/>
          <w:sz w:val="20"/>
          <w:szCs w:val="20"/>
        </w:rPr>
        <w:t xml:space="preserve">Solution.</w:t>
      </w:r>
      <w:r>
        <w:rPr>
          <w:sz w:val="20"/>
          <w:szCs w:val="20"/>
        </w:rPr>
        <w:t xml:space="preserve"> The prod-to-local sync script drops those four constraints before restore and restores them after.</w:t>
      </w:r>
    </w:p>
    <w:p>
      <w:pPr>
        <w:spacing w:after="140" w:before="60" w:line="276"/>
      </w:pPr>
      <w:r>
        <w:rPr>
          <w:b/>
          <w:bCs/>
          <w:sz w:val="20"/>
          <w:szCs w:val="20"/>
        </w:rPr>
        <w:t xml:space="preserve">Evidence.</w:t>
      </w:r>
      <w:r>
        <w:rPr>
          <w:sz w:val="20"/>
          <w:szCs w:val="20"/>
        </w:rPr>
        <w:t xml:space="preserve"> VERIFIED — commit, 12 Sep 2026.</w:t>
      </w:r>
    </w:p>
    <w:p>
      <w:pPr>
        <w:pStyle w:val="Heading2"/>
        <w:spacing w:after="120" w:before="260"/>
      </w:pPr>
      <w:r>
        <w:rPr>
          <w:b/>
          <w:bCs/>
          <w:color w:val="1F3864"/>
          <w:sz w:val="23"/>
          <w:szCs w:val="23"/>
        </w:rPr>
        <w:t xml:space="preserve">Permission model corrected: withdraw-review</w:t>
      </w:r>
    </w:p>
    <w:p>
      <w:pPr>
        <w:spacing w:after="140" w:before="60" w:line="276"/>
      </w:pPr>
      <w:r>
        <w:rPr>
          <w:b/>
          <w:bCs/>
          <w:sz w:val="20"/>
          <w:szCs w:val="20"/>
        </w:rPr>
        <w:t xml:space="preserve">Problem.</w:t>
      </w:r>
      <w:r>
        <w:rPr>
          <w:sz w:val="20"/>
          <w:szCs w:val="20"/>
        </w:rPr>
        <w:t xml:space="preserve"> </w:t>
      </w:r>
      <w:r>
        <w:rPr>
          <w:rFonts w:ascii="Consolas" w:cs="Consolas" w:eastAsia="Consolas" w:hAnsi="Consolas"/>
          <w:sz w:val="18"/>
          <w:szCs w:val="18"/>
        </w:rPr>
        <w:t xml:space="preserve">canWithdrawCampaignReview</w:t>
      </w:r>
      <w:r>
        <w:rPr>
          <w:sz w:val="20"/>
          <w:szCs w:val="20"/>
        </w:rPr>
        <w:t xml:space="preserve"> granted the action to any Admin, so the reviewer a campaign was submitted </w:t>
      </w:r>
      <w:r>
        <w:rPr>
          <w:i/>
          <w:iCs/>
          <w:sz w:val="20"/>
          <w:szCs w:val="20"/>
        </w:rPr>
        <w:t xml:space="preserve">to</w:t>
      </w:r>
      <w:r>
        <w:rPr>
          <w:sz w:val="20"/>
          <w:szCs w:val="20"/>
        </w:rPr>
        <w:t xml:space="preserve"> saw a "Withdraw review" button — a reviewer could retract someone else's submission.</w:t>
      </w:r>
    </w:p>
    <w:p>
      <w:pPr>
        <w:spacing w:after="140" w:before="60" w:line="276"/>
      </w:pPr>
      <w:r>
        <w:rPr>
          <w:b/>
          <w:bCs/>
          <w:sz w:val="20"/>
          <w:szCs w:val="20"/>
        </w:rPr>
        <w:t xml:space="preserve">Solution.</w:t>
      </w:r>
      <w:r>
        <w:rPr>
          <w:sz w:val="20"/>
          <w:szCs w:val="20"/>
        </w:rPr>
        <w:t xml:space="preserve"> Narrowed to the draft team (owner plus collaborators); reviewers act by approving or rejecting.</w:t>
      </w:r>
    </w:p>
    <w:p>
      <w:pPr>
        <w:spacing w:after="140" w:before="60" w:line="276"/>
      </w:pPr>
      <w:r>
        <w:rPr>
          <w:b/>
          <w:bCs/>
          <w:sz w:val="20"/>
          <w:szCs w:val="20"/>
        </w:rPr>
        <w:t xml:space="preserve">Evidence.</w:t>
      </w:r>
      <w:r>
        <w:rPr>
          <w:sz w:val="20"/>
          <w:szCs w:val="20"/>
        </w:rPr>
        <w:t xml:space="preserve"> VERIFIED — observed and fixed during this session's work.</w:t>
      </w:r>
    </w:p>
    <w:p>
      <w:pPr>
        <w:pStyle w:val="Heading1"/>
        <w:pBdr>
          <w:bottom w:val="single" w:color="BFBFBF" w:sz="6" w:space="6"/>
        </w:pBdr>
        <w:spacing w:after="160" w:before="360"/>
      </w:pPr>
      <w:r>
        <w:rPr>
          <w:b/>
          <w:bCs/>
          <w:color w:val="1F3864"/>
          <w:sz w:val="28"/>
          <w:szCs w:val="28"/>
        </w:rPr>
        <w:t xml:space="preserve">13. Security, Reliability and Operational Considerations</w:t>
      </w:r>
    </w:p>
    <w:p>
      <w:pPr>
        <w:spacing w:after="140" w:before="60" w:line="276"/>
      </w:pPr>
      <w:r>
        <w:rPr>
          <w:b/>
          <w:bCs/>
          <w:sz w:val="20"/>
          <w:szCs w:val="20"/>
        </w:rPr>
        <w:t xml:space="preserve">Security.</w:t>
      </w:r>
      <w:r>
        <w:rPr>
          <w:sz w:val="20"/>
          <w:szCs w:val="20"/>
        </w:rPr>
        <w:t xml:space="preserve"> Invite-only Google OIDC with server-side token verification and Workspace-domain enforcement; no local passwords. Two guards enforce session and role. API clients authenticate by key with per-client rate limits. Webhook endpoints verify shared secrets. All secrets are environment variables; none are committed.</w:t>
      </w:r>
    </w:p>
    <w:p>
      <w:pPr>
        <w:spacing w:after="140" w:before="60" w:line="276"/>
      </w:pPr>
      <w:r>
        <w:rPr>
          <w:b/>
          <w:bCs/>
          <w:sz w:val="20"/>
          <w:szCs w:val="20"/>
        </w:rPr>
        <w:t xml:space="preserve">Reliability.</w:t>
      </w:r>
      <w:r>
        <w:rPr>
          <w:sz w:val="20"/>
          <w:szCs w:val="20"/>
        </w:rPr>
        <w:t xml:space="preserve"> Queue-backed delivery; retry with recorded lineage (</w:t>
      </w:r>
      <w:r>
        <w:rPr>
          <w:rFonts w:ascii="Consolas" w:cs="Consolas" w:eastAsia="Consolas" w:hAnsi="Consolas"/>
          <w:sz w:val="18"/>
          <w:szCs w:val="18"/>
        </w:rPr>
        <w:t xml:space="preserve">retriedFromRecipientId</w:t>
      </w:r>
      <w:r>
        <w:rPr>
          <w:sz w:val="20"/>
          <w:szCs w:val="20"/>
        </w:rPr>
        <w:t xml:space="preserve">, 747 retries); stale-lock recovery for pollers and processors; dedupe windows for transactional mail; throttle windows and blackout periods; </w:t>
      </w:r>
      <w:r>
        <w:rPr>
          <w:rFonts w:ascii="Consolas" w:cs="Consolas" w:eastAsia="Consolas" w:hAnsi="Consolas"/>
          <w:sz w:val="18"/>
          <w:szCs w:val="18"/>
        </w:rPr>
        <w:t xml:space="preserve">CompletedWithFailures</w:t>
      </w:r>
      <w:r>
        <w:rPr>
          <w:sz w:val="20"/>
          <w:szCs w:val="20"/>
        </w:rPr>
        <w:t xml:space="preserve"> as a distinct run state so partial failure is visible rather than hidden.</w:t>
      </w:r>
    </w:p>
    <w:p>
      <w:pPr>
        <w:spacing w:after="140" w:before="60" w:line="276"/>
      </w:pPr>
      <w:r>
        <w:rPr>
          <w:b/>
          <w:bCs/>
          <w:sz w:val="20"/>
          <w:szCs w:val="20"/>
        </w:rPr>
        <w:t xml:space="preserve">Observability.</w:t>
      </w:r>
      <w:r>
        <w:rPr>
          <w:sz w:val="20"/>
          <w:szCs w:val="20"/>
        </w:rPr>
        <w:t xml:space="preserve"> 364,430-row audit log across 59 action types; a </w:t>
      </w:r>
      <w:r>
        <w:rPr>
          <w:rFonts w:ascii="Consolas" w:cs="Consolas" w:eastAsia="Consolas" w:hAnsi="Consolas"/>
          <w:sz w:val="18"/>
          <w:szCs w:val="18"/>
        </w:rPr>
        <w:t xml:space="preserve">health</w:t>
      </w:r>
      <w:r>
        <w:rPr>
          <w:sz w:val="20"/>
          <w:szCs w:val="20"/>
        </w:rPr>
        <w:t xml:space="preserve"> module; a </w:t>
      </w:r>
      <w:r>
        <w:rPr>
          <w:rFonts w:ascii="Consolas" w:cs="Consolas" w:eastAsia="Consolas" w:hAnsi="Consolas"/>
          <w:sz w:val="18"/>
          <w:szCs w:val="18"/>
        </w:rPr>
        <w:t xml:space="preserve">monitor</w:t>
      </w:r>
      <w:r>
        <w:rPr>
          <w:sz w:val="20"/>
          <w:szCs w:val="20"/>
        </w:rPr>
        <w:t xml:space="preserve"> module exposing </w:t>
      </w:r>
      <w:r>
        <w:rPr>
          <w:rFonts w:ascii="Consolas" w:cs="Consolas" w:eastAsia="Consolas" w:hAnsi="Consolas"/>
          <w:sz w:val="18"/>
          <w:szCs w:val="18"/>
        </w:rPr>
        <w:t xml:space="preserve">ucp-execution-summary</w:t>
      </w:r>
      <w:r>
        <w:rPr>
          <w:sz w:val="20"/>
          <w:szCs w:val="20"/>
        </w:rPr>
        <w:t xml:space="preserve"> for an external dashboard (bounded to a 3-day window — a deliberate load guard); daily/operational/weekly reporting services.</w:t>
      </w:r>
    </w:p>
    <w:p>
      <w:pPr>
        <w:spacing w:after="140" w:before="60" w:line="276"/>
      </w:pPr>
      <w:r>
        <w:rPr>
          <w:b/>
          <w:bCs/>
          <w:sz w:val="20"/>
          <w:szCs w:val="20"/>
        </w:rPr>
        <w:t xml:space="preserve">Testing.</w:t>
      </w:r>
      <w:r>
        <w:rPr>
          <w:sz w:val="20"/>
          <w:szCs w:val="20"/>
        </w:rPr>
        <w:t xml:space="preserve"> 9 spec files, 84 unit cases, 9 e2e cases. </w:t>
      </w:r>
      <w:r>
        <w:rPr>
          <w:b/>
          <w:bCs/>
          <w:sz w:val="20"/>
          <w:szCs w:val="20"/>
        </w:rPr>
        <w:t xml:space="preserve">This is thin relative to a 62,750-line backend</w:t>
      </w:r>
      <w:r>
        <w:rPr>
          <w:sz w:val="20"/>
          <w:szCs w:val="20"/>
        </w:rPr>
        <w:t xml:space="preserve"> and is the most obvious engineering weakness. Tests are concentrated where logic is subtlest (preset flows, variable rendering, trigger rules) — a defensible prioritisation, but not broad coverage.</w:t>
      </w:r>
    </w:p>
    <w:p>
      <w:pPr>
        <w:pStyle w:val="Heading1"/>
        <w:pBdr>
          <w:bottom w:val="single" w:color="BFBFBF" w:sz="6" w:space="6"/>
        </w:pBdr>
        <w:spacing w:after="160" w:before="360"/>
      </w:pPr>
      <w:r>
        <w:rPr>
          <w:b/>
          <w:bCs/>
          <w:color w:val="1F3864"/>
          <w:sz w:val="28"/>
          <w:szCs w:val="28"/>
        </w:rPr>
        <w:t xml:space="preserve">14. Lessons Learned</w:t>
      </w:r>
    </w:p>
    <w:p>
      <w:pPr>
        <w:spacing w:after="140" w:before="60" w:line="276"/>
      </w:pPr>
      <w:r>
        <w:rPr>
          <w:b/>
          <w:bCs/>
          <w:sz w:val="20"/>
          <w:szCs w:val="20"/>
        </w:rPr>
        <w:t xml:space="preserve">Worked well.</w:t>
      </w:r>
      <w:r>
        <w:rPr>
          <w:sz w:val="20"/>
          <w:szCs w:val="20"/>
        </w:rPr>
        <w:t xml:space="preserve"> Pushing invariants into database constraints — the zero-duplicate dispatch result is a constraint doing its job silently 1,146 times. Freezing execution state early, which made reconciliation and audit straightforward rather than archaeological. Writing </w:t>
      </w:r>
      <w:r>
        <w:rPr>
          <w:rFonts w:ascii="Consolas" w:cs="Consolas" w:eastAsia="Consolas" w:hAnsi="Consolas"/>
          <w:sz w:val="18"/>
          <w:szCs w:val="18"/>
        </w:rPr>
        <w:t xml:space="preserve">AGENTS.md</w:t>
      </w:r>
      <w:r>
        <w:rPr>
          <w:sz w:val="20"/>
          <w:szCs w:val="20"/>
        </w:rPr>
        <w:t xml:space="preserve"> before heavy AI tooling use, which kept generated code inside intended boundaries. Keeping documentation a same-task deliverable rather than a later chore.</w:t>
      </w:r>
    </w:p>
    <w:p>
      <w:pPr>
        <w:spacing w:after="140" w:before="60" w:line="276"/>
      </w:pPr>
      <w:r>
        <w:rPr>
          <w:b/>
          <w:bCs/>
          <w:sz w:val="20"/>
          <w:szCs w:val="20"/>
        </w:rPr>
        <w:t xml:space="preserve">Would do differently.</w:t>
      </w:r>
      <w:r>
        <w:rPr>
          <w:sz w:val="20"/>
          <w:szCs w:val="20"/>
        </w:rPr>
        <w:t xml:space="preserve"> </w:t>
      </w:r>
      <w:r>
        <w:rPr>
          <w:rFonts w:ascii="Consolas" w:cs="Consolas" w:eastAsia="Consolas" w:hAnsi="Consolas"/>
          <w:sz w:val="18"/>
          <w:szCs w:val="18"/>
        </w:rPr>
        <w:t xml:space="preserve">campaign-execution.service.ts</w:t>
      </w:r>
      <w:r>
        <w:rPr>
          <w:sz w:val="20"/>
          <w:szCs w:val="20"/>
        </w:rPr>
        <w:t xml:space="preserve"> reaching 10,463 lines is a boundary that should have been split earlier — run creation, queue handoff, provider dispatch and reconciliation are four responsibilities in one file. Test coverage should have grown with the domain rather than clustering around known-subtle areas. And the dd/MM bug argues for banning </w:t>
      </w:r>
      <w:r>
        <w:rPr>
          <w:rFonts w:ascii="Consolas" w:cs="Consolas" w:eastAsia="Consolas" w:hAnsi="Consolas"/>
          <w:sz w:val="18"/>
          <w:szCs w:val="18"/>
        </w:rPr>
        <w:t xml:space="preserve">new Date(string)</w:t>
      </w:r>
      <w:r>
        <w:rPr>
          <w:sz w:val="20"/>
          <w:szCs w:val="20"/>
        </w:rPr>
        <w:t xml:space="preserve"> on business input from the outset, by lint rule rather than by convention.</w:t>
      </w:r>
    </w:p>
    <w:p>
      <w:pPr>
        <w:spacing w:after="140" w:before="60" w:line="276"/>
      </w:pPr>
      <w:r>
        <w:rPr>
          <w:b/>
          <w:bCs/>
          <w:sz w:val="20"/>
          <w:szCs w:val="20"/>
        </w:rPr>
        <w:t xml:space="preserve">Operational lesson.</w:t>
      </w:r>
      <w:r>
        <w:rPr>
          <w:sz w:val="20"/>
          <w:szCs w:val="20"/>
        </w:rPr>
        <w:t xml:space="preserve"> The gap between </w:t>
      </w:r>
      <w:r>
        <w:rPr>
          <w:rFonts w:ascii="Consolas" w:cs="Consolas" w:eastAsia="Consolas" w:hAnsi="Consolas"/>
          <w:sz w:val="18"/>
          <w:szCs w:val="18"/>
        </w:rPr>
        <w:t xml:space="preserve">preset_flow_sync_failed</w:t>
      </w:r>
      <w:r>
        <w:rPr>
          <w:sz w:val="20"/>
          <w:szCs w:val="20"/>
        </w:rPr>
        <w:t xml:space="preserve"> audit events (21,608) and failed run rows (256) shows that two logging paths recording "the same" event at different granularities will eventually be read as contradicting each other. Metric definitions need to be as deliberate as schema.</w:t>
      </w:r>
    </w:p>
    <w:p>
      <w:pPr>
        <w:spacing w:after="140" w:before="60" w:line="276"/>
      </w:pPr>
      <w:r>
        <w:rPr>
          <w:b/>
          <w:bCs/>
          <w:sz w:val="20"/>
          <w:szCs w:val="20"/>
        </w:rPr>
        <w:t xml:space="preserve">Migration lesson.</w:t>
      </w:r>
      <w:r>
        <w:rPr>
          <w:sz w:val="20"/>
          <w:szCs w:val="20"/>
        </w:rPr>
        <w:t xml:space="preserve"> The single highest-leverage decision was not a feature: preserving the legacy HTTP contract verbatim meant other teams could adopt the platform by changing a URL. Consolidation goals fail on adoption friction long before they fail on capability — and the cost, legacy field shapes embedded in a new public API, was worth paying and should be paid knowingly.</w:t>
      </w:r>
    </w:p>
    <w:p>
      <w:pPr>
        <w:spacing w:after="140" w:before="60" w:line="276"/>
      </w:pPr>
      <w:r>
        <w:rPr>
          <w:b/>
          <w:bCs/>
          <w:sz w:val="20"/>
          <w:szCs w:val="20"/>
        </w:rPr>
        <w:t xml:space="preserve">Lesson about instrumentation, learned from the system being replaced.</w:t>
      </w:r>
      <w:r>
        <w:rPr>
          <w:sz w:val="20"/>
          <w:szCs w:val="20"/>
        </w:rPr>
        <w:t xml:space="preserve"> The legacy estate could not be measured because it never recorded outcomes — which makes its own replacement impossible to quantify, and means no one could prove how bad things were while they were bad. Systems should record what they did from day one, even before anyone asks for a report; the absence is only discovered when it is too late to backfill. This is also why §22 now says to stop hunting for a baseline that cannot exist.</w:t>
      </w:r>
    </w:p>
    <w:p>
      <w:pPr>
        <w:pStyle w:val="Heading1"/>
        <w:pBdr>
          <w:bottom w:val="single" w:color="BFBFBF" w:sz="6" w:space="6"/>
        </w:pBdr>
        <w:spacing w:after="160" w:before="360"/>
      </w:pPr>
      <w:r>
        <w:rPr>
          <w:b/>
          <w:bCs/>
          <w:color w:val="1F3864"/>
          <w:sz w:val="28"/>
          <w:szCs w:val="28"/>
        </w:rPr>
        <w:t xml:space="preserve">15. Verified Career Claim Bank</w:t>
      </w:r>
    </w:p>
    <w:p>
      <w:pPr>
        <w:pBdr>
          <w:left w:val="single" w:color="1F3864" w:sz="12" w:space="8"/>
        </w:pBdr>
        <w:shd w:fill="F4F6FB" w:color="auto" w:val="clear"/>
        <w:spacing w:after="160" w:before="140"/>
        <w:ind w:left="240" w:right="160"/>
      </w:pPr>
      <w:r>
        <w:rPr>
          <w:b/>
          <w:bCs/>
          <w:sz w:val="19"/>
          <w:szCs w:val="19"/>
        </w:rPr>
        <w:t xml:space="preserve">Claim 1.</w:t>
      </w:r>
      <w:r>
        <w:rPr>
          <w:sz w:val="19"/>
          <w:szCs w:val="19"/>
        </w:rPr>
        <w:t xml:space="preserve"> Built and operate a governed multi-channel communications platform that has dispatched </w:t>
      </w:r>
      <w:r>
        <w:rPr>
          <w:b/>
          <w:bCs/>
          <w:sz w:val="19"/>
          <w:szCs w:val="19"/>
        </w:rPr>
        <w:t xml:space="preserve">85,482 campaign messages</w:t>
      </w:r>
      <w:r>
        <w:rPr>
          <w:sz w:val="19"/>
          <w:szCs w:val="19"/>
        </w:rPr>
        <w:t xml:space="preserve"> across Email, SMS and WhatsApp in production. </w:t>
      </w:r>
      <w:r>
        <w:rPr>
          <w:b/>
          <w:bCs/>
          <w:sz w:val="19"/>
          <w:szCs w:val="19"/>
        </w:rPr>
        <w:t xml:space="preserve">Level:</w:t>
      </w:r>
      <w:r>
        <w:rPr>
          <w:sz w:val="19"/>
          <w:szCs w:val="19"/>
        </w:rPr>
        <w:t xml:space="preserve"> VERIFIED · </w:t>
      </w:r>
      <w:r>
        <w:rPr>
          <w:b/>
          <w:bCs/>
          <w:sz w:val="19"/>
          <w:szCs w:val="19"/>
        </w:rPr>
        <w:t xml:space="preserve">Evidence:</w:t>
      </w:r>
      <w:r>
        <w:rPr>
          <w:sz w:val="19"/>
          <w:szCs w:val="19"/>
        </w:rPr>
        <w:t xml:space="preserve"> </w:t>
      </w:r>
      <w:r>
        <w:rPr>
          <w:rFonts w:ascii="Consolas" w:cs="Consolas" w:eastAsia="Consolas" w:hAnsi="Consolas"/>
          <w:sz w:val="18"/>
          <w:szCs w:val="18"/>
        </w:rPr>
        <w:t xml:space="preserve">CampaignExecutionRecipient</w:t>
      </w:r>
      <w:r>
        <w:rPr>
          <w:sz w:val="19"/>
          <w:szCs w:val="19"/>
        </w:rPr>
        <w:t xml:space="preserve"> where </w:t>
      </w:r>
      <w:r>
        <w:rPr>
          <w:rFonts w:ascii="Consolas" w:cs="Consolas" w:eastAsia="Consolas" w:hAnsi="Consolas"/>
          <w:sz w:val="18"/>
          <w:szCs w:val="18"/>
        </w:rPr>
        <w:t xml:space="preserve">sentAt</w:t>
      </w:r>
      <w:r>
        <w:rPr>
          <w:sz w:val="19"/>
          <w:szCs w:val="19"/>
        </w:rPr>
        <w:t xml:space="preserve"> is not null · </w:t>
      </w:r>
      <w:r>
        <w:rPr>
          <w:b/>
          <w:bCs/>
          <w:sz w:val="19"/>
          <w:szCs w:val="19"/>
        </w:rPr>
        <w:t xml:space="preserve">Period:</w:t>
      </w:r>
      <w:r>
        <w:rPr>
          <w:sz w:val="19"/>
          <w:szCs w:val="19"/>
        </w:rPr>
        <w:t xml:space="preserve"> 26 Jun – 8 Oct 2026 · </w:t>
      </w:r>
      <w:r>
        <w:rPr>
          <w:b/>
          <w:bCs/>
          <w:sz w:val="19"/>
          <w:szCs w:val="19"/>
        </w:rPr>
        <w:t xml:space="preserve">Qualification:</w:t>
      </w:r>
      <w:r>
        <w:rPr>
          <w:sz w:val="19"/>
          <w:szCs w:val="19"/>
        </w:rPr>
        <w:t xml:space="preserve"> message attempts, not unique customers.</w:t>
      </w:r>
    </w:p>
    <w:p>
      <w:pPr>
        <w:pBdr>
          <w:left w:val="single" w:color="1F3864" w:sz="12" w:space="8"/>
        </w:pBdr>
        <w:shd w:fill="F4F6FB" w:color="auto" w:val="clear"/>
        <w:spacing w:after="160" w:before="140"/>
        <w:ind w:left="240" w:right="160"/>
      </w:pPr>
      <w:r>
        <w:rPr>
          <w:b/>
          <w:bCs/>
          <w:sz w:val="19"/>
          <w:szCs w:val="19"/>
        </w:rPr>
        <w:t xml:space="preserve">Claim 2.</w:t>
      </w:r>
      <w:r>
        <w:rPr>
          <w:sz w:val="19"/>
          <w:szCs w:val="19"/>
        </w:rPr>
        <w:t xml:space="preserve"> Delivered an email channel with a </w:t>
      </w:r>
      <w:r>
        <w:rPr>
          <w:b/>
          <w:bCs/>
          <w:sz w:val="19"/>
          <w:szCs w:val="19"/>
        </w:rPr>
        <w:t xml:space="preserve">1.07% combined failure-and-bounce rate</w:t>
      </w:r>
      <w:r>
        <w:rPr>
          <w:sz w:val="19"/>
          <w:szCs w:val="19"/>
        </w:rPr>
        <w:t xml:space="preserve"> and an SMS channel at </w:t>
      </w:r>
      <w:r>
        <w:rPr>
          <w:b/>
          <w:bCs/>
          <w:sz w:val="19"/>
          <w:szCs w:val="19"/>
        </w:rPr>
        <w:t xml:space="preserve">0.23%</w:t>
      </w:r>
      <w:r>
        <w:rPr>
          <w:sz w:val="19"/>
          <w:szCs w:val="19"/>
        </w:rPr>
        <w:t xml:space="preserve">. </w:t>
      </w:r>
      <w:r>
        <w:rPr>
          <w:b/>
          <w:bCs/>
          <w:sz w:val="19"/>
          <w:szCs w:val="19"/>
        </w:rPr>
        <w:t xml:space="preserve">Level:</w:t>
      </w:r>
      <w:r>
        <w:rPr>
          <w:sz w:val="19"/>
          <w:szCs w:val="19"/>
        </w:rPr>
        <w:t xml:space="preserve"> DERIVED · </w:t>
      </w:r>
      <w:r>
        <w:rPr>
          <w:b/>
          <w:bCs/>
          <w:sz w:val="19"/>
          <w:szCs w:val="19"/>
        </w:rPr>
        <w:t xml:space="preserve">Evidence:</w:t>
      </w:r>
      <w:r>
        <w:rPr>
          <w:sz w:val="19"/>
          <w:szCs w:val="19"/>
        </w:rPr>
        <w:t xml:space="preserve"> 683/64,055 and 50/21,443 by terminal status · </w:t>
      </w:r>
      <w:r>
        <w:rPr>
          <w:b/>
          <w:bCs/>
          <w:sz w:val="19"/>
          <w:szCs w:val="19"/>
        </w:rPr>
        <w:t xml:space="preserve">Qualification:</w:t>
      </w:r>
      <w:r>
        <w:rPr>
          <w:sz w:val="19"/>
          <w:szCs w:val="19"/>
        </w:rPr>
        <w:t xml:space="preserve"> terminal state at query time; late webhooks could shift marginally.</w:t>
      </w:r>
    </w:p>
    <w:p>
      <w:pPr>
        <w:pBdr>
          <w:left w:val="single" w:color="1F3864" w:sz="12" w:space="8"/>
        </w:pBdr>
        <w:shd w:fill="F4F6FB" w:color="auto" w:val="clear"/>
        <w:spacing w:after="160" w:before="140"/>
        <w:ind w:left="240" w:right="160"/>
      </w:pPr>
      <w:r>
        <w:rPr>
          <w:b/>
          <w:bCs/>
          <w:sz w:val="19"/>
          <w:szCs w:val="19"/>
        </w:rPr>
        <w:t xml:space="preserve">Claim 3.</w:t>
      </w:r>
      <w:r>
        <w:rPr>
          <w:sz w:val="19"/>
          <w:szCs w:val="19"/>
        </w:rPr>
        <w:t xml:space="preserve"> Designed database-enforced idempotency that produced </w:t>
      </w:r>
      <w:r>
        <w:rPr>
          <w:b/>
          <w:bCs/>
          <w:sz w:val="19"/>
          <w:szCs w:val="19"/>
        </w:rPr>
        <w:t xml:space="preserve">zero duplicate schedule dispatches across 1,146 dispatches</w:t>
      </w:r>
      <w:r>
        <w:rPr>
          <w:sz w:val="19"/>
          <w:szCs w:val="19"/>
        </w:rPr>
        <w:t xml:space="preserve">. </w:t>
      </w:r>
      <w:r>
        <w:rPr>
          <w:b/>
          <w:bCs/>
          <w:sz w:val="19"/>
          <w:szCs w:val="19"/>
        </w:rPr>
        <w:t xml:space="preserve">Level:</w:t>
      </w:r>
      <w:r>
        <w:rPr>
          <w:sz w:val="19"/>
          <w:szCs w:val="19"/>
        </w:rPr>
        <w:t xml:space="preserve"> VERIFIED · </w:t>
      </w:r>
      <w:r>
        <w:rPr>
          <w:b/>
          <w:bCs/>
          <w:sz w:val="19"/>
          <w:szCs w:val="19"/>
        </w:rPr>
        <w:t xml:space="preserve">Evidence:</w:t>
      </w:r>
      <w:r>
        <w:rPr>
          <w:sz w:val="19"/>
          <w:szCs w:val="19"/>
        </w:rPr>
        <w:t xml:space="preserve"> </w:t>
      </w:r>
      <w:r>
        <w:rPr>
          <w:rFonts w:ascii="Consolas" w:cs="Consolas" w:eastAsia="Consolas" w:hAnsi="Consolas"/>
          <w:sz w:val="18"/>
          <w:szCs w:val="18"/>
        </w:rPr>
        <w:t xml:space="preserve">count(*) = count(distinct (scheduleId, scheduledFor)) = 1,146</w:t>
      </w:r>
      <w:r>
        <w:rPr>
          <w:sz w:val="19"/>
          <w:szCs w:val="19"/>
        </w:rPr>
        <w:t xml:space="preserve"> · </w:t>
      </w:r>
      <w:r>
        <w:rPr>
          <w:b/>
          <w:bCs/>
          <w:sz w:val="19"/>
          <w:szCs w:val="19"/>
        </w:rPr>
        <w:t xml:space="preserve">Qualification:</w:t>
      </w:r>
      <w:r>
        <w:rPr>
          <w:sz w:val="19"/>
          <w:szCs w:val="19"/>
        </w:rPr>
        <w:t xml:space="preserve"> covers schedule-path duplicates specifically.</w:t>
      </w:r>
    </w:p>
    <w:p>
      <w:pPr>
        <w:pBdr>
          <w:left w:val="single" w:color="1F3864" w:sz="12" w:space="8"/>
        </w:pBdr>
        <w:shd w:fill="F4F6FB" w:color="auto" w:val="clear"/>
        <w:spacing w:after="160" w:before="140"/>
        <w:ind w:left="240" w:right="160"/>
      </w:pPr>
      <w:r>
        <w:rPr>
          <w:b/>
          <w:bCs/>
          <w:sz w:val="19"/>
          <w:szCs w:val="19"/>
        </w:rPr>
        <w:t xml:space="preserve">Claim 4.</w:t>
      </w:r>
      <w:r>
        <w:rPr>
          <w:sz w:val="19"/>
          <w:szCs w:val="19"/>
        </w:rPr>
        <w:t xml:space="preserve"> Built a near-real-time SQL polling pipeline that has executed </w:t>
      </w:r>
      <w:r>
        <w:rPr>
          <w:b/>
          <w:bCs/>
          <w:sz w:val="19"/>
          <w:szCs w:val="19"/>
        </w:rPr>
        <w:t xml:space="preserve">149,321 sync runs at 99.83% success</w:t>
      </w:r>
      <w:r>
        <w:rPr>
          <w:sz w:val="19"/>
          <w:szCs w:val="19"/>
        </w:rPr>
        <w:t xml:space="preserve"> across 13 flows. </w:t>
      </w:r>
      <w:r>
        <w:rPr>
          <w:b/>
          <w:bCs/>
          <w:sz w:val="19"/>
          <w:szCs w:val="19"/>
        </w:rPr>
        <w:t xml:space="preserve">Level:</w:t>
      </w:r>
      <w:r>
        <w:rPr>
          <w:sz w:val="19"/>
          <w:szCs w:val="19"/>
        </w:rPr>
        <w:t xml:space="preserve"> VERIFIED/DERIVED · </w:t>
      </w:r>
      <w:r>
        <w:rPr>
          <w:b/>
          <w:bCs/>
          <w:sz w:val="19"/>
          <w:szCs w:val="19"/>
        </w:rPr>
        <w:t xml:space="preserve">Evidence:</w:t>
      </w:r>
      <w:r>
        <w:rPr>
          <w:sz w:val="19"/>
          <w:szCs w:val="19"/>
        </w:rPr>
        <w:t xml:space="preserve"> </w:t>
      </w:r>
      <w:r>
        <w:rPr>
          <w:rFonts w:ascii="Consolas" w:cs="Consolas" w:eastAsia="Consolas" w:hAnsi="Consolas"/>
          <w:sz w:val="18"/>
          <w:szCs w:val="18"/>
        </w:rPr>
        <w:t xml:space="preserve">PresetFlowRun</w:t>
      </w:r>
      <w:r>
        <w:rPr>
          <w:sz w:val="19"/>
          <w:szCs w:val="19"/>
        </w:rPr>
        <w:t xml:space="preserve"> · </w:t>
      </w:r>
      <w:r>
        <w:rPr>
          <w:b/>
          <w:bCs/>
          <w:sz w:val="19"/>
          <w:szCs w:val="19"/>
        </w:rPr>
        <w:t xml:space="preserve">Period:</w:t>
      </w:r>
      <w:r>
        <w:rPr>
          <w:sz w:val="19"/>
          <w:szCs w:val="19"/>
        </w:rPr>
        <w:t xml:space="preserve"> 25 Jun – 8 Oct 2026.</w:t>
      </w:r>
    </w:p>
    <w:p>
      <w:pPr>
        <w:pBdr>
          <w:left w:val="single" w:color="1F3864" w:sz="12" w:space="8"/>
        </w:pBdr>
        <w:shd w:fill="F4F6FB" w:color="auto" w:val="clear"/>
        <w:spacing w:after="160" w:before="140"/>
        <w:ind w:left="240" w:right="160"/>
      </w:pPr>
      <w:r>
        <w:rPr>
          <w:b/>
          <w:bCs/>
          <w:sz w:val="19"/>
          <w:szCs w:val="19"/>
        </w:rPr>
        <w:t xml:space="preserve">Claim 5.</w:t>
      </w:r>
      <w:r>
        <w:rPr>
          <w:sz w:val="19"/>
          <w:szCs w:val="19"/>
        </w:rPr>
        <w:t xml:space="preserve"> Automated outbound operations such that </w:t>
      </w:r>
      <w:r>
        <w:rPr>
          <w:b/>
          <w:bCs/>
          <w:sz w:val="19"/>
          <w:szCs w:val="19"/>
        </w:rPr>
        <w:t xml:space="preserve">99.4% of 5,261 execution runs were system-triggered</w:t>
      </w:r>
      <w:r>
        <w:rPr>
          <w:sz w:val="19"/>
          <w:szCs w:val="19"/>
        </w:rPr>
        <w:t xml:space="preserve">. </w:t>
      </w:r>
      <w:r>
        <w:rPr>
          <w:b/>
          <w:bCs/>
          <w:sz w:val="19"/>
          <w:szCs w:val="19"/>
        </w:rPr>
        <w:t xml:space="preserve">Level:</w:t>
      </w:r>
      <w:r>
        <w:rPr>
          <w:sz w:val="19"/>
          <w:szCs w:val="19"/>
        </w:rPr>
        <w:t xml:space="preserve"> DERIVED · </w:t>
      </w:r>
      <w:r>
        <w:rPr>
          <w:b/>
          <w:bCs/>
          <w:sz w:val="19"/>
          <w:szCs w:val="19"/>
        </w:rPr>
        <w:t xml:space="preserve">Evidence:</w:t>
      </w:r>
      <w:r>
        <w:rPr>
          <w:sz w:val="19"/>
          <w:szCs w:val="19"/>
        </w:rPr>
        <w:t xml:space="preserve"> </w:t>
      </w:r>
      <w:r>
        <w:rPr>
          <w:rFonts w:ascii="Consolas" w:cs="Consolas" w:eastAsia="Consolas" w:hAnsi="Consolas"/>
          <w:sz w:val="18"/>
          <w:szCs w:val="18"/>
        </w:rPr>
        <w:t xml:space="preserve">triggerSource</w:t>
      </w:r>
      <w:r>
        <w:rPr>
          <w:sz w:val="19"/>
          <w:szCs w:val="19"/>
        </w:rPr>
        <w:t xml:space="preserve"> distribution · </w:t>
      </w:r>
      <w:r>
        <w:rPr>
          <w:b/>
          <w:bCs/>
          <w:sz w:val="19"/>
          <w:szCs w:val="19"/>
        </w:rPr>
        <w:t xml:space="preserve">Qualification:</w:t>
      </w:r>
      <w:r>
        <w:rPr>
          <w:sz w:val="19"/>
          <w:szCs w:val="19"/>
        </w:rPr>
        <w:t xml:space="preserve"> measures trigger origin, not absence of human oversight — approval remains manual by design.</w:t>
      </w:r>
    </w:p>
    <w:p>
      <w:pPr>
        <w:pBdr>
          <w:left w:val="single" w:color="1F3864" w:sz="12" w:space="8"/>
        </w:pBdr>
        <w:shd w:fill="F4F6FB" w:color="auto" w:val="clear"/>
        <w:spacing w:after="160" w:before="140"/>
        <w:ind w:left="240" w:right="160"/>
      </w:pPr>
      <w:r>
        <w:rPr>
          <w:b/>
          <w:bCs/>
          <w:sz w:val="19"/>
          <w:szCs w:val="19"/>
        </w:rPr>
        <w:t xml:space="preserve">Claim 6.</w:t>
      </w:r>
      <w:r>
        <w:rPr>
          <w:sz w:val="19"/>
          <w:szCs w:val="19"/>
        </w:rPr>
        <w:t xml:space="preserve"> Implemented a compliance audit trail capturing </w:t>
      </w:r>
      <w:r>
        <w:rPr>
          <w:b/>
          <w:bCs/>
          <w:sz w:val="19"/>
          <w:szCs w:val="19"/>
        </w:rPr>
        <w:t xml:space="preserve">364,430 events across 59 action types</w:t>
      </w:r>
      <w:r>
        <w:rPr>
          <w:sz w:val="19"/>
          <w:szCs w:val="19"/>
        </w:rPr>
        <w:t xml:space="preserve">. </w:t>
      </w:r>
      <w:r>
        <w:rPr>
          <w:b/>
          <w:bCs/>
          <w:sz w:val="19"/>
          <w:szCs w:val="19"/>
        </w:rPr>
        <w:t xml:space="preserve">Level:</w:t>
      </w:r>
      <w:r>
        <w:rPr>
          <w:sz w:val="19"/>
          <w:szCs w:val="19"/>
        </w:rPr>
        <w:t xml:space="preserve"> VERIFIED · </w:t>
      </w:r>
      <w:r>
        <w:rPr>
          <w:b/>
          <w:bCs/>
          <w:sz w:val="19"/>
          <w:szCs w:val="19"/>
        </w:rPr>
        <w:t xml:space="preserve">Period:</w:t>
      </w:r>
      <w:r>
        <w:rPr>
          <w:sz w:val="19"/>
          <w:szCs w:val="19"/>
        </w:rPr>
        <w:t xml:space="preserve"> 30 Apr – 8 Oct 2026.</w:t>
      </w:r>
    </w:p>
    <w:p>
      <w:pPr>
        <w:pBdr>
          <w:left w:val="single" w:color="1F3864" w:sz="12" w:space="8"/>
        </w:pBdr>
        <w:shd w:fill="F4F6FB" w:color="auto" w:val="clear"/>
        <w:spacing w:after="160" w:before="140"/>
        <w:ind w:left="240" w:right="160"/>
      </w:pPr>
      <w:r>
        <w:rPr>
          <w:b/>
          <w:bCs/>
          <w:sz w:val="19"/>
          <w:szCs w:val="19"/>
        </w:rPr>
        <w:t xml:space="preserve">Claim 7.</w:t>
      </w:r>
      <w:r>
        <w:rPr>
          <w:sz w:val="19"/>
          <w:szCs w:val="19"/>
        </w:rPr>
        <w:t xml:space="preserve"> Built an authenticated API platform adopted by </w:t>
      </w:r>
      <w:r>
        <w:rPr>
          <w:b/>
          <w:bCs/>
          <w:sz w:val="19"/>
          <w:szCs w:val="19"/>
        </w:rPr>
        <w:t xml:space="preserve">22 internal client applications</w:t>
      </w:r>
      <w:r>
        <w:rPr>
          <w:sz w:val="19"/>
          <w:szCs w:val="19"/>
        </w:rPr>
        <w:t xml:space="preserve">, carrying </w:t>
      </w:r>
      <w:r>
        <w:rPr>
          <w:b/>
          <w:bCs/>
          <w:sz w:val="19"/>
          <w:szCs w:val="19"/>
        </w:rPr>
        <w:t xml:space="preserve">18,113 emails</w:t>
      </w:r>
      <w:r>
        <w:rPr>
          <w:sz w:val="19"/>
          <w:szCs w:val="19"/>
        </w:rPr>
        <w:t xml:space="preserve"> with month-on-month growth from 47 (May) to 7,075 (Sep). </w:t>
      </w:r>
      <w:r>
        <w:rPr>
          <w:b/>
          <w:bCs/>
          <w:sz w:val="19"/>
          <w:szCs w:val="19"/>
        </w:rPr>
        <w:t xml:space="preserve">Level:</w:t>
      </w:r>
      <w:r>
        <w:rPr>
          <w:sz w:val="19"/>
          <w:szCs w:val="19"/>
        </w:rPr>
        <w:t xml:space="preserve"> VERIFIED · </w:t>
      </w:r>
      <w:r>
        <w:rPr>
          <w:b/>
          <w:bCs/>
          <w:sz w:val="19"/>
          <w:szCs w:val="19"/>
        </w:rPr>
        <w:t xml:space="preserve">Evidence:</w:t>
      </w:r>
      <w:r>
        <w:rPr>
          <w:sz w:val="19"/>
          <w:szCs w:val="19"/>
        </w:rPr>
        <w:t xml:space="preserve"> </w:t>
      </w:r>
      <w:r>
        <w:rPr>
          <w:rFonts w:ascii="Consolas" w:cs="Consolas" w:eastAsia="Consolas" w:hAnsi="Consolas"/>
          <w:sz w:val="18"/>
          <w:szCs w:val="18"/>
        </w:rPr>
        <w:t xml:space="preserve">TransactionalEmail</w:t>
      </w:r>
      <w:r>
        <w:rPr>
          <w:sz w:val="19"/>
          <w:szCs w:val="19"/>
        </w:rPr>
        <w:t xml:space="preserve">, </w:t>
      </w:r>
      <w:r>
        <w:rPr>
          <w:rFonts w:ascii="Consolas" w:cs="Consolas" w:eastAsia="Consolas" w:hAnsi="Consolas"/>
          <w:sz w:val="18"/>
          <w:szCs w:val="18"/>
        </w:rPr>
        <w:t xml:space="preserve">TransactionalMailClient</w:t>
      </w:r>
      <w:r>
        <w:rPr>
          <w:sz w:val="19"/>
          <w:szCs w:val="19"/>
        </w:rPr>
        <w:t xml:space="preserve">.</w:t>
      </w:r>
    </w:p>
    <w:p>
      <w:pPr>
        <w:pBdr>
          <w:left w:val="single" w:color="1F3864" w:sz="12" w:space="8"/>
        </w:pBdr>
        <w:shd w:fill="F4F6FB" w:color="auto" w:val="clear"/>
        <w:spacing w:after="160" w:before="140"/>
        <w:ind w:left="240" w:right="160"/>
      </w:pPr>
      <w:r>
        <w:rPr>
          <w:b/>
          <w:bCs/>
          <w:sz w:val="19"/>
          <w:szCs w:val="19"/>
        </w:rPr>
        <w:t xml:space="preserve">Claim 8.</w:t>
      </w:r>
      <w:r>
        <w:rPr>
          <w:sz w:val="19"/>
          <w:szCs w:val="19"/>
        </w:rPr>
        <w:t xml:space="preserve"> Authored </w:t>
      </w:r>
      <w:r>
        <w:rPr>
          <w:b/>
          <w:bCs/>
          <w:sz w:val="19"/>
          <w:szCs w:val="19"/>
        </w:rPr>
        <w:t xml:space="preserve">221 of 228 backend commits (+77,448 source lines)</w:t>
      </w:r>
      <w:r>
        <w:rPr>
          <w:sz w:val="19"/>
          <w:szCs w:val="19"/>
        </w:rPr>
        <w:t xml:space="preserve"> over a continuous six-month delivery. </w:t>
      </w:r>
      <w:r>
        <w:rPr>
          <w:b/>
          <w:bCs/>
          <w:sz w:val="19"/>
          <w:szCs w:val="19"/>
        </w:rPr>
        <w:t xml:space="preserve">Level:</w:t>
      </w:r>
      <w:r>
        <w:rPr>
          <w:sz w:val="19"/>
          <w:szCs w:val="19"/>
        </w:rPr>
        <w:t xml:space="preserve"> VERIFIED · </w:t>
      </w:r>
      <w:r>
        <w:rPr>
          <w:b/>
          <w:bCs/>
          <w:sz w:val="19"/>
          <w:szCs w:val="19"/>
        </w:rPr>
        <w:t xml:space="preserve">Qualification:</w:t>
      </w:r>
      <w:r>
        <w:rPr>
          <w:sz w:val="19"/>
          <w:szCs w:val="19"/>
        </w:rPr>
        <w:t xml:space="preserve"> AI coding assistance was used; this is authorship-of-record and architectural ownership, not a claim of unaided keystroke authorship.</w:t>
      </w:r>
    </w:p>
    <w:p>
      <w:pPr>
        <w:pBdr>
          <w:left w:val="single" w:color="1F3864" w:sz="12" w:space="8"/>
        </w:pBdr>
        <w:shd w:fill="F4F6FB" w:color="auto" w:val="clear"/>
        <w:spacing w:after="160" w:before="140"/>
        <w:ind w:left="240" w:right="160"/>
      </w:pPr>
      <w:r>
        <w:rPr>
          <w:b/>
          <w:bCs/>
          <w:sz w:val="19"/>
          <w:szCs w:val="19"/>
        </w:rPr>
        <w:t xml:space="preserve">Claim 9.</w:t>
      </w:r>
      <w:r>
        <w:rPr>
          <w:sz w:val="19"/>
          <w:szCs w:val="19"/>
        </w:rPr>
        <w:t xml:space="preserve"> Designed a provider abstraction running </w:t>
      </w:r>
      <w:r>
        <w:rPr>
          <w:b/>
          <w:bCs/>
          <w:sz w:val="19"/>
          <w:szCs w:val="19"/>
        </w:rPr>
        <w:t xml:space="preserve">five adapters simultaneously in production</w:t>
      </w:r>
      <w:r>
        <w:rPr>
          <w:sz w:val="19"/>
          <w:szCs w:val="19"/>
        </w:rPr>
        <w:t xml:space="preserve">. </w:t>
      </w:r>
      <w:r>
        <w:rPr>
          <w:b/>
          <w:bCs/>
          <w:sz w:val="19"/>
          <w:szCs w:val="19"/>
        </w:rPr>
        <w:t xml:space="preserve">Level:</w:t>
      </w:r>
      <w:r>
        <w:rPr>
          <w:sz w:val="19"/>
          <w:szCs w:val="19"/>
        </w:rPr>
        <w:t xml:space="preserve"> VERIFIED · </w:t>
      </w:r>
      <w:r>
        <w:rPr>
          <w:b/>
          <w:bCs/>
          <w:sz w:val="19"/>
          <w:szCs w:val="19"/>
        </w:rPr>
        <w:t xml:space="preserve">Evidence:</w:t>
      </w:r>
      <w:r>
        <w:rPr>
          <w:sz w:val="19"/>
          <w:szCs w:val="19"/>
        </w:rPr>
        <w:t xml:space="preserve"> </w:t>
      </w:r>
      <w:r>
        <w:rPr>
          <w:rFonts w:ascii="Consolas" w:cs="Consolas" w:eastAsia="Consolas" w:hAnsi="Consolas"/>
          <w:sz w:val="18"/>
          <w:szCs w:val="18"/>
        </w:rPr>
        <w:t xml:space="preserve">provider</w:t>
      </w:r>
      <w:r>
        <w:rPr>
          <w:sz w:val="19"/>
          <w:szCs w:val="19"/>
        </w:rPr>
        <w:t xml:space="preserve"> column distribution.</w:t>
      </w:r>
    </w:p>
    <w:p>
      <w:pPr>
        <w:pBdr>
          <w:left w:val="single" w:color="1F3864" w:sz="12" w:space="8"/>
        </w:pBdr>
        <w:shd w:fill="F4F6FB" w:color="auto" w:val="clear"/>
        <w:spacing w:after="160" w:before="140"/>
        <w:ind w:left="240" w:right="160"/>
      </w:pPr>
      <w:r>
        <w:rPr>
          <w:b/>
          <w:bCs/>
          <w:sz w:val="19"/>
          <w:szCs w:val="19"/>
        </w:rPr>
        <w:t xml:space="preserve">Claim 10.</w:t>
      </w:r>
      <w:r>
        <w:rPr>
          <w:sz w:val="19"/>
          <w:szCs w:val="19"/>
        </w:rPr>
        <w:t xml:space="preserve"> Delivered a NestJS backend of </w:t>
      </w:r>
      <w:r>
        <w:rPr>
          <w:b/>
          <w:bCs/>
          <w:sz w:val="19"/>
          <w:szCs w:val="19"/>
        </w:rPr>
        <w:t xml:space="preserve">155 REST endpoints across 19 modules over 34 data models and 66 migrations</w:t>
      </w:r>
      <w:r>
        <w:rPr>
          <w:sz w:val="19"/>
          <w:szCs w:val="19"/>
        </w:rPr>
        <w:t xml:space="preserve">, with OpenAPI documentation. </w:t>
      </w:r>
      <w:r>
        <w:rPr>
          <w:b/>
          <w:bCs/>
          <w:sz w:val="19"/>
          <w:szCs w:val="19"/>
        </w:rPr>
        <w:t xml:space="preserve">Level:</w:t>
      </w:r>
      <w:r>
        <w:rPr>
          <w:sz w:val="19"/>
          <w:szCs w:val="19"/>
        </w:rPr>
        <w:t xml:space="preserve"> VERIFIED.</w:t>
      </w:r>
    </w:p>
    <w:p>
      <w:pPr>
        <w:pBdr>
          <w:left w:val="single" w:color="1F3864" w:sz="12" w:space="8"/>
        </w:pBdr>
        <w:shd w:fill="F4F6FB" w:color="auto" w:val="clear"/>
        <w:spacing w:after="160" w:before="140"/>
        <w:ind w:left="240" w:right="160"/>
      </w:pPr>
      <w:r>
        <w:rPr>
          <w:b/>
          <w:bCs/>
          <w:sz w:val="19"/>
          <w:szCs w:val="19"/>
        </w:rPr>
        <w:t xml:space="preserve">Claim 11.</w:t>
      </w:r>
      <w:r>
        <w:rPr>
          <w:sz w:val="19"/>
          <w:szCs w:val="19"/>
        </w:rPr>
        <w:t xml:space="preserve"> Built and maintained a published technical documentation site as a same-task deliverable alongside code. </w:t>
      </w:r>
      <w:r>
        <w:rPr>
          <w:b/>
          <w:bCs/>
          <w:sz w:val="19"/>
          <w:szCs w:val="19"/>
        </w:rPr>
        <w:t xml:space="preserve">Level:</w:t>
      </w:r>
      <w:r>
        <w:rPr>
          <w:sz w:val="19"/>
          <w:szCs w:val="19"/>
        </w:rPr>
        <w:t xml:space="preserve"> VERIFIED · </w:t>
      </w:r>
      <w:r>
        <w:rPr>
          <w:b/>
          <w:bCs/>
          <w:sz w:val="19"/>
          <w:szCs w:val="19"/>
        </w:rPr>
        <w:t xml:space="preserve">Evidence:</w:t>
      </w:r>
      <w:r>
        <w:rPr>
          <w:sz w:val="19"/>
          <w:szCs w:val="19"/>
        </w:rPr>
        <w:t xml:space="preserve"> </w:t>
      </w:r>
      <w:r>
        <w:rPr>
          <w:rFonts w:ascii="Consolas" w:cs="Consolas" w:eastAsia="Consolas" w:hAnsi="Consolas"/>
          <w:sz w:val="18"/>
          <w:szCs w:val="18"/>
        </w:rPr>
        <w:t xml:space="preserve">ucp-documentation</w:t>
      </w:r>
      <w:r>
        <w:rPr>
          <w:sz w:val="19"/>
          <w:szCs w:val="19"/>
        </w:rPr>
        <w:t xml:space="preserve">, 17 commits; </w:t>
      </w:r>
      <w:r>
        <w:rPr>
          <w:rFonts w:ascii="Consolas" w:cs="Consolas" w:eastAsia="Consolas" w:hAnsi="Consolas"/>
          <w:sz w:val="18"/>
          <w:szCs w:val="18"/>
        </w:rPr>
        <w:t xml:space="preserve">--strict</w:t>
      </w:r>
      <w:r>
        <w:rPr>
          <w:sz w:val="19"/>
          <w:szCs w:val="19"/>
        </w:rPr>
        <w:t xml:space="preserve"> MkDocs build policy in </w:t>
      </w:r>
      <w:r>
        <w:rPr>
          <w:rFonts w:ascii="Consolas" w:cs="Consolas" w:eastAsia="Consolas" w:hAnsi="Consolas"/>
          <w:sz w:val="18"/>
          <w:szCs w:val="18"/>
        </w:rPr>
        <w:t xml:space="preserve">AGENTS.md</w:t>
      </w:r>
      <w:r>
        <w:rPr>
          <w:sz w:val="19"/>
          <w:szCs w:val="19"/>
        </w:rPr>
        <w:t xml:space="preserve">.</w:t>
      </w:r>
    </w:p>
    <w:p>
      <w:pPr>
        <w:pBdr>
          <w:left w:val="single" w:color="1F3864" w:sz="12" w:space="8"/>
        </w:pBdr>
        <w:shd w:fill="F4F6FB" w:color="auto" w:val="clear"/>
        <w:spacing w:after="160" w:before="140"/>
        <w:ind w:left="240" w:right="160"/>
      </w:pPr>
      <w:r>
        <w:rPr>
          <w:b/>
          <w:bCs/>
          <w:sz w:val="19"/>
          <w:szCs w:val="19"/>
        </w:rPr>
        <w:t xml:space="preserve">Claim 12.</w:t>
      </w:r>
      <w:r>
        <w:rPr>
          <w:sz w:val="19"/>
          <w:szCs w:val="19"/>
        </w:rPr>
        <w:t xml:space="preserve"> Diagnosed and fixed a locale date-parsing defect that silently transposed day and month in customer-facing insurance communications, shipping it with a named regression test. </w:t>
      </w:r>
      <w:r>
        <w:rPr>
          <w:b/>
          <w:bCs/>
          <w:sz w:val="19"/>
          <w:szCs w:val="19"/>
        </w:rPr>
        <w:t xml:space="preserve">Level:</w:t>
      </w:r>
      <w:r>
        <w:rPr>
          <w:sz w:val="19"/>
          <w:szCs w:val="19"/>
        </w:rPr>
        <w:t xml:space="preserve"> VERIFIED · </w:t>
      </w:r>
      <w:r>
        <w:rPr>
          <w:b/>
          <w:bCs/>
          <w:sz w:val="19"/>
          <w:szCs w:val="19"/>
        </w:rPr>
        <w:t xml:space="preserve">Evidence:</w:t>
      </w:r>
      <w:r>
        <w:rPr>
          <w:sz w:val="19"/>
          <w:szCs w:val="19"/>
        </w:rPr>
        <w:t xml:space="preserve"> commit </w:t>
      </w:r>
      <w:r>
        <w:rPr>
          <w:rFonts w:ascii="Consolas" w:cs="Consolas" w:eastAsia="Consolas" w:hAnsi="Consolas"/>
          <w:sz w:val="18"/>
          <w:szCs w:val="18"/>
        </w:rPr>
        <w:t xml:space="preserve">22d52e0</w:t>
      </w:r>
      <w:r>
        <w:rPr>
          <w:sz w:val="19"/>
          <w:szCs w:val="19"/>
        </w:rPr>
        <w:t xml:space="preserve">, 18 Aug 2026.</w:t>
      </w:r>
    </w:p>
    <w:p>
      <w:pPr>
        <w:pBdr>
          <w:left w:val="single" w:color="1F3864" w:sz="12" w:space="8"/>
        </w:pBdr>
        <w:shd w:fill="F4F6FB" w:color="auto" w:val="clear"/>
        <w:spacing w:after="160" w:before="140"/>
        <w:ind w:left="240" w:right="160"/>
      </w:pPr>
      <w:r>
        <w:rPr>
          <w:b/>
          <w:bCs/>
          <w:sz w:val="19"/>
          <w:szCs w:val="19"/>
        </w:rPr>
        <w:t xml:space="preserve">Claim 13.</w:t>
      </w:r>
      <w:r>
        <w:rPr>
          <w:sz w:val="19"/>
          <w:szCs w:val="19"/>
        </w:rPr>
        <w:t xml:space="preserve"> Replaced </w:t>
      </w:r>
      <w:r>
        <w:rPr>
          <w:b/>
          <w:bCs/>
          <w:sz w:val="19"/>
          <w:szCs w:val="19"/>
        </w:rPr>
        <w:t xml:space="preserve">two</w:t>
      </w:r>
      <w:r>
        <w:rPr>
          <w:sz w:val="19"/>
          <w:szCs w:val="19"/>
        </w:rPr>
        <w:t xml:space="preserve"> legacy production systems with one platform: a Google Apps Script orchestration estate (11 flows reimplemented as preset-flow adapters) and a .NET 8 Azure Functions mail microservice (contract absorbed into the platform API). </w:t>
      </w:r>
      <w:r>
        <w:rPr>
          <w:b/>
          <w:bCs/>
          <w:sz w:val="19"/>
          <w:szCs w:val="19"/>
        </w:rPr>
        <w:t xml:space="preserve">Level:</w:t>
      </w:r>
      <w:r>
        <w:rPr>
          <w:sz w:val="19"/>
          <w:szCs w:val="19"/>
        </w:rPr>
        <w:t xml:space="preserve"> VERIFIED · </w:t>
      </w:r>
      <w:r>
        <w:rPr>
          <w:b/>
          <w:bCs/>
          <w:sz w:val="19"/>
          <w:szCs w:val="19"/>
        </w:rPr>
        <w:t xml:space="preserve">Evidence:</w:t>
      </w:r>
      <w:r>
        <w:rPr>
          <w:sz w:val="19"/>
          <w:szCs w:val="19"/>
        </w:rPr>
        <w:t xml:space="preserve"> </w:t>
      </w:r>
      <w:r>
        <w:rPr>
          <w:rFonts w:ascii="Consolas" w:cs="Consolas" w:eastAsia="Consolas" w:hAnsi="Consolas"/>
          <w:sz w:val="18"/>
          <w:szCs w:val="18"/>
        </w:rPr>
        <w:t xml:space="preserve">legacy-script-cutover-plan.md</w:t>
      </w:r>
      <w:r>
        <w:rPr>
          <w:sz w:val="19"/>
          <w:szCs w:val="19"/>
        </w:rPr>
        <w:t xml:space="preserve">, </w:t>
      </w:r>
      <w:r>
        <w:rPr>
          <w:rFonts w:ascii="Consolas" w:cs="Consolas" w:eastAsia="Consolas" w:hAnsi="Consolas"/>
          <w:sz w:val="18"/>
          <w:szCs w:val="18"/>
        </w:rPr>
        <w:t xml:space="preserve">transactional-mail-compatibility.md</w:t>
      </w:r>
      <w:r>
        <w:rPr>
          <w:sz w:val="19"/>
          <w:szCs w:val="19"/>
        </w:rPr>
        <w:t xml:space="preserve">, legacy source · </w:t>
      </w:r>
      <w:r>
        <w:rPr>
          <w:b/>
          <w:bCs/>
          <w:sz w:val="19"/>
          <w:szCs w:val="19"/>
        </w:rPr>
        <w:t xml:space="preserve">Qualification:</w:t>
      </w:r>
      <w:r>
        <w:rPr>
          <w:sz w:val="19"/>
          <w:szCs w:val="19"/>
        </w:rPr>
        <w:t xml:space="preserve"> 8 further legacy functions have no implementation in the checked-in source and remain an open discovery track — the cutover is substantially but not provably complete.</w:t>
      </w:r>
    </w:p>
    <w:p>
      <w:pPr>
        <w:pBdr>
          <w:left w:val="single" w:color="1F3864" w:sz="12" w:space="8"/>
        </w:pBdr>
        <w:shd w:fill="F4F6FB" w:color="auto" w:val="clear"/>
        <w:spacing w:after="160" w:before="140"/>
        <w:ind w:left="240" w:right="160"/>
      </w:pPr>
      <w:r>
        <w:rPr>
          <w:b/>
          <w:bCs/>
          <w:sz w:val="19"/>
          <w:szCs w:val="19"/>
        </w:rPr>
        <w:t xml:space="preserve">Claim 14.</w:t>
      </w:r>
      <w:r>
        <w:rPr>
          <w:sz w:val="19"/>
          <w:szCs w:val="19"/>
        </w:rPr>
        <w:t xml:space="preserve"> Designed a backwards-compatible API contract that let 22 existing internal client systems migrate onto the platform by repointing rather than rewriting, growing from 47 to 7,075 emails monthly in four months. </w:t>
      </w:r>
      <w:r>
        <w:rPr>
          <w:b/>
          <w:bCs/>
          <w:sz w:val="19"/>
          <w:szCs w:val="19"/>
        </w:rPr>
        <w:t xml:space="preserve">Level:</w:t>
      </w:r>
      <w:r>
        <w:rPr>
          <w:sz w:val="19"/>
          <w:szCs w:val="19"/>
        </w:rPr>
        <w:t xml:space="preserve"> VERIFIED/DERIVED · </w:t>
      </w:r>
      <w:r>
        <w:rPr>
          <w:b/>
          <w:bCs/>
          <w:sz w:val="19"/>
          <w:szCs w:val="19"/>
        </w:rPr>
        <w:t xml:space="preserve">Evidence:</w:t>
      </w:r>
      <w:r>
        <w:rPr>
          <w:sz w:val="19"/>
          <w:szCs w:val="19"/>
        </w:rPr>
        <w:t xml:space="preserve"> compatibility doc; </w:t>
      </w:r>
      <w:r>
        <w:rPr>
          <w:rFonts w:ascii="Consolas" w:cs="Consolas" w:eastAsia="Consolas" w:hAnsi="Consolas"/>
          <w:sz w:val="18"/>
          <w:szCs w:val="18"/>
        </w:rPr>
        <w:t xml:space="preserve">TransactionalEmail</w:t>
      </w:r>
      <w:r>
        <w:rPr>
          <w:sz w:val="19"/>
          <w:szCs w:val="19"/>
        </w:rPr>
        <w:t xml:space="preserve"> monthly counts · </w:t>
      </w:r>
      <w:r>
        <w:rPr>
          <w:b/>
          <w:bCs/>
          <w:sz w:val="19"/>
          <w:szCs w:val="19"/>
        </w:rPr>
        <w:t xml:space="preserve">Qualification:</w:t>
      </w:r>
      <w:r>
        <w:rPr>
          <w:sz w:val="19"/>
          <w:szCs w:val="19"/>
        </w:rPr>
        <w:t xml:space="preserve"> growth reflects migration onto the platform, not new business volume.</w:t>
      </w:r>
    </w:p>
    <w:p>
      <w:pPr>
        <w:pBdr>
          <w:left w:val="single" w:color="1F3864" w:sz="12" w:space="8"/>
        </w:pBdr>
        <w:shd w:fill="F4F6FB" w:color="auto" w:val="clear"/>
        <w:spacing w:after="160" w:before="140"/>
        <w:ind w:left="240" w:right="160"/>
      </w:pPr>
      <w:r>
        <w:rPr>
          <w:b/>
          <w:bCs/>
          <w:sz w:val="19"/>
          <w:szCs w:val="19"/>
        </w:rPr>
        <w:t xml:space="preserve">Claim 15.</w:t>
      </w:r>
      <w:r>
        <w:rPr>
          <w:sz w:val="19"/>
          <w:szCs w:val="19"/>
        </w:rPr>
        <w:t xml:space="preserve"> Delivered a unified per-customer communication history (</w:t>
      </w:r>
      <w:r>
        <w:rPr>
          <w:rFonts w:ascii="Consolas" w:cs="Consolas" w:eastAsia="Consolas" w:hAnsi="Consolas"/>
          <w:sz w:val="18"/>
          <w:szCs w:val="18"/>
        </w:rPr>
        <w:t xml:space="preserve">UNION ALL</w:t>
      </w:r>
      <w:r>
        <w:rPr>
          <w:sz w:val="19"/>
          <w:szCs w:val="19"/>
        </w:rPr>
        <w:t xml:space="preserve"> across campaign and external-service sends) — a capability neither replaced system provided, and the one executives specifically asked for. </w:t>
      </w:r>
      <w:r>
        <w:rPr>
          <w:b/>
          <w:bCs/>
          <w:sz w:val="19"/>
          <w:szCs w:val="19"/>
        </w:rPr>
        <w:t xml:space="preserve">Level:</w:t>
      </w:r>
      <w:r>
        <w:rPr>
          <w:sz w:val="19"/>
          <w:szCs w:val="19"/>
        </w:rPr>
        <w:t xml:space="preserve"> VERIFIED (capability) / TESTIMONY (that it was the executive ask) · </w:t>
      </w:r>
      <w:r>
        <w:rPr>
          <w:b/>
          <w:bCs/>
          <w:sz w:val="19"/>
          <w:szCs w:val="19"/>
        </w:rPr>
        <w:t xml:space="preserve">Evidence:</w:t>
      </w:r>
      <w:r>
        <w:rPr>
          <w:sz w:val="19"/>
          <w:szCs w:val="19"/>
        </w:rPr>
        <w:t xml:space="preserve"> service SQL, dedicated UI page.</w:t>
      </w:r>
    </w:p>
    <w:p>
      <w:pPr>
        <w:pBdr>
          <w:left w:val="single" w:color="1F3864" w:sz="12" w:space="8"/>
        </w:pBdr>
        <w:shd w:fill="F4F6FB" w:color="auto" w:val="clear"/>
        <w:spacing w:after="160" w:before="140"/>
        <w:ind w:left="240" w:right="160"/>
      </w:pPr>
      <w:r>
        <w:rPr>
          <w:b/>
          <w:bCs/>
          <w:sz w:val="19"/>
          <w:szCs w:val="19"/>
        </w:rPr>
        <w:t xml:space="preserve">Claim 16.</w:t>
      </w:r>
      <w:r>
        <w:rPr>
          <w:sz w:val="19"/>
          <w:szCs w:val="19"/>
        </w:rPr>
        <w:t xml:space="preserve"> Replaced a failure path that notified nobody — the legacy handler was an unimplemented </w:t>
      </w:r>
      <w:r>
        <w:rPr>
          <w:rFonts w:ascii="Consolas" w:cs="Consolas" w:eastAsia="Consolas" w:hAnsi="Consolas"/>
          <w:sz w:val="18"/>
          <w:szCs w:val="18"/>
        </w:rPr>
        <w:t xml:space="preserve">//todo send email</w:t>
      </w:r>
      <w:r>
        <w:rPr>
          <w:sz w:val="19"/>
          <w:szCs w:val="19"/>
        </w:rPr>
        <w:t xml:space="preserve"> stub — with recorded failure state, retry lineage, distinct partial-failure run status, and emailed operational summaries. </w:t>
      </w:r>
      <w:r>
        <w:rPr>
          <w:b/>
          <w:bCs/>
          <w:sz w:val="19"/>
          <w:szCs w:val="19"/>
        </w:rPr>
        <w:t xml:space="preserve">Level:</w:t>
      </w:r>
      <w:r>
        <w:rPr>
          <w:sz w:val="19"/>
          <w:szCs w:val="19"/>
        </w:rPr>
        <w:t xml:space="preserve"> VERIFIED · </w:t>
      </w:r>
      <w:r>
        <w:rPr>
          <w:b/>
          <w:bCs/>
          <w:sz w:val="19"/>
          <w:szCs w:val="19"/>
        </w:rPr>
        <w:t xml:space="preserve">Evidence:</w:t>
      </w:r>
      <w:r>
        <w:rPr>
          <w:sz w:val="19"/>
          <w:szCs w:val="19"/>
        </w:rPr>
        <w:t xml:space="preserve"> </w:t>
      </w:r>
      <w:r>
        <w:rPr>
          <w:rFonts w:ascii="Consolas" w:cs="Consolas" w:eastAsia="Consolas" w:hAnsi="Consolas"/>
          <w:sz w:val="18"/>
          <w:szCs w:val="18"/>
        </w:rPr>
        <w:t xml:space="preserve">old-google-scripts/iros-process-one/functions.gs</w:t>
      </w:r>
      <w:r>
        <w:rPr>
          <w:sz w:val="19"/>
          <w:szCs w:val="19"/>
        </w:rPr>
        <w:t xml:space="preserve">; UCP execution schema and notification services · </w:t>
      </w:r>
      <w:r>
        <w:rPr>
          <w:b/>
          <w:bCs/>
          <w:sz w:val="19"/>
          <w:szCs w:val="19"/>
        </w:rPr>
        <w:t xml:space="preserve">Qualification:</w:t>
      </w:r>
      <w:r>
        <w:rPr>
          <w:sz w:val="19"/>
          <w:szCs w:val="19"/>
        </w:rPr>
        <w:t xml:space="preserve"> describes a capability gap, not a measured reduction in failures.</w:t>
      </w:r>
    </w:p>
    <w:p>
      <w:pPr>
        <w:pBdr>
          <w:left w:val="single" w:color="1F3864" w:sz="12" w:space="8"/>
        </w:pBdr>
        <w:shd w:fill="F4F6FB" w:color="auto" w:val="clear"/>
        <w:spacing w:after="160" w:before="140"/>
        <w:ind w:left="240" w:right="160"/>
      </w:pPr>
      <w:r>
        <w:rPr>
          <w:b/>
          <w:bCs/>
          <w:sz w:val="19"/>
          <w:szCs w:val="19"/>
        </w:rPr>
        <w:t xml:space="preserve">Claim 17.</w:t>
      </w:r>
      <w:r>
        <w:rPr>
          <w:sz w:val="19"/>
          <w:szCs w:val="19"/>
        </w:rPr>
        <w:t xml:space="preserve"> Commended on this project by the CEO and CTO on several occasions. </w:t>
      </w:r>
      <w:r>
        <w:rPr>
          <w:b/>
          <w:bCs/>
          <w:sz w:val="19"/>
          <w:szCs w:val="19"/>
        </w:rPr>
        <w:t xml:space="preserve">Level:</w:t>
      </w:r>
      <w:r>
        <w:rPr>
          <w:sz w:val="19"/>
          <w:szCs w:val="19"/>
        </w:rPr>
        <w:t xml:space="preserve"> TESTIMONY · </w:t>
      </w:r>
      <w:r>
        <w:rPr>
          <w:b/>
          <w:bCs/>
          <w:sz w:val="19"/>
          <w:szCs w:val="19"/>
        </w:rPr>
        <w:t xml:space="preserve">Evidence:</w:t>
      </w:r>
      <w:r>
        <w:rPr>
          <w:sz w:val="19"/>
          <w:szCs w:val="19"/>
        </w:rPr>
        <w:t xml:space="preserve"> subject's account only · </w:t>
      </w:r>
      <w:r>
        <w:rPr>
          <w:b/>
          <w:bCs/>
          <w:sz w:val="19"/>
          <w:szCs w:val="19"/>
        </w:rPr>
        <w:t xml:space="preserve">Qualification:</w:t>
      </w:r>
      <w:r>
        <w:rPr>
          <w:sz w:val="19"/>
          <w:szCs w:val="19"/>
        </w:rPr>
        <w:t xml:space="preserve"> usable in interview as "I'm told…"; do not put in writing as fact until a dated written source exists (§22).</w:t>
      </w:r>
    </w:p>
    <w:p>
      <w:pPr>
        <w:pStyle w:val="Heading1"/>
        <w:pBdr>
          <w:bottom w:val="single" w:color="BFBFBF" w:sz="6" w:space="6"/>
        </w:pBdr>
        <w:spacing w:after="160" w:before="360"/>
      </w:pPr>
      <w:r>
        <w:rPr>
          <w:b/>
          <w:bCs/>
          <w:color w:val="1F3864"/>
          <w:sz w:val="28"/>
          <w:szCs w:val="28"/>
        </w:rPr>
        <w:t xml:space="preserve">16. CV Achievement Candidates</w:t>
      </w:r>
    </w:p>
    <w:p>
      <w:pPr>
        <w:pStyle w:val="Heading2"/>
        <w:spacing w:after="120" w:before="260"/>
      </w:pPr>
      <w:r>
        <w:rPr>
          <w:b/>
          <w:bCs/>
          <w:color w:val="1F3864"/>
          <w:sz w:val="23"/>
          <w:szCs w:val="23"/>
        </w:rPr>
        <w:t xml:space="preserve">High-confidence quantified</w:t>
      </w:r>
    </w:p>
    <w:p>
      <w:pPr>
        <w:pStyle w:val="ListParagraph"/>
        <w:numPr>
          <w:ilvl w:val="0"/>
          <w:numId w:val="2"/>
        </w:numPr>
        <w:spacing w:after="40" w:before="40"/>
      </w:pPr>
      <w:r>
        <w:rPr>
          <w:sz w:val="20"/>
          <w:szCs w:val="20"/>
        </w:rPr>
        <w:t xml:space="preserve">Designed and built a governed multi-channel communications platform (NestJS, PostgreSQL, Azure Service Bus) that has dispatched </w:t>
      </w:r>
      <w:r>
        <w:rPr>
          <w:b/>
          <w:bCs/>
          <w:sz w:val="20"/>
          <w:szCs w:val="20"/>
        </w:rPr>
        <w:t xml:space="preserve">85,482 production messages</w:t>
      </w:r>
      <w:r>
        <w:rPr>
          <w:sz w:val="20"/>
          <w:szCs w:val="20"/>
        </w:rPr>
        <w:t xml:space="preserve"> across Email, SMS and WhatsApp at a </w:t>
      </w:r>
      <w:r>
        <w:rPr>
          <w:b/>
          <w:bCs/>
          <w:sz w:val="20"/>
          <w:szCs w:val="20"/>
        </w:rPr>
        <w:t xml:space="preserve">1.07% email failure/bounce rate</w:t>
      </w:r>
      <w:r>
        <w:rPr>
          <w:sz w:val="20"/>
          <w:szCs w:val="20"/>
        </w:rPr>
        <w:t xml:space="preserve">, replacing Google Apps Script–driven orchestration for a UK insurance broker.</w:t>
      </w:r>
    </w:p>
    <w:p>
      <w:pPr>
        <w:pStyle w:val="ListParagraph"/>
        <w:numPr>
          <w:ilvl w:val="0"/>
          <w:numId w:val="2"/>
        </w:numPr>
        <w:spacing w:after="40" w:before="40"/>
      </w:pPr>
      <w:r>
        <w:rPr>
          <w:sz w:val="20"/>
          <w:szCs w:val="20"/>
        </w:rPr>
        <w:t xml:space="preserve">Engineered a queue-backed execution plane with database-enforced idempotency, achieving </w:t>
      </w:r>
      <w:r>
        <w:rPr>
          <w:b/>
          <w:bCs/>
          <w:sz w:val="20"/>
          <w:szCs w:val="20"/>
        </w:rPr>
        <w:t xml:space="preserve">zero duplicate dispatches across 1,146 scheduled sends</w:t>
      </w:r>
      <w:r>
        <w:rPr>
          <w:sz w:val="20"/>
          <w:szCs w:val="20"/>
        </w:rPr>
        <w:t xml:space="preserve"> and </w:t>
      </w:r>
      <w:r>
        <w:rPr>
          <w:b/>
          <w:bCs/>
          <w:sz w:val="20"/>
          <w:szCs w:val="20"/>
        </w:rPr>
        <w:t xml:space="preserve">99.83% success across 149,321 automated source-polling runs</w:t>
      </w:r>
      <w:r>
        <w:rPr>
          <w:sz w:val="20"/>
          <w:szCs w:val="20"/>
        </w:rPr>
        <w:t xml:space="preserve">.</w:t>
      </w:r>
    </w:p>
    <w:p>
      <w:pPr>
        <w:pStyle w:val="ListParagraph"/>
        <w:numPr>
          <w:ilvl w:val="0"/>
          <w:numId w:val="2"/>
        </w:numPr>
        <w:spacing w:after="40" w:before="40"/>
      </w:pPr>
      <w:r>
        <w:rPr>
          <w:sz w:val="20"/>
          <w:szCs w:val="20"/>
        </w:rPr>
        <w:t xml:space="preserve">Automated recurring outbound operations so that </w:t>
      </w:r>
      <w:r>
        <w:rPr>
          <w:b/>
          <w:bCs/>
          <w:sz w:val="20"/>
          <w:szCs w:val="20"/>
        </w:rPr>
        <w:t xml:space="preserve">99.4% of 5,261 execution runs are system-triggered</w:t>
      </w:r>
      <w:r>
        <w:rPr>
          <w:sz w:val="20"/>
          <w:szCs w:val="20"/>
        </w:rPr>
        <w:t xml:space="preserve">, while preserving mandatory human approval before any campaign goes live.</w:t>
      </w:r>
    </w:p>
    <w:p>
      <w:pPr>
        <w:pStyle w:val="ListParagraph"/>
        <w:numPr>
          <w:ilvl w:val="0"/>
          <w:numId w:val="2"/>
        </w:numPr>
        <w:spacing w:after="40" w:before="40"/>
      </w:pPr>
      <w:r>
        <w:rPr>
          <w:sz w:val="20"/>
          <w:szCs w:val="20"/>
        </w:rPr>
        <w:t xml:space="preserve">Built a compliance-grade audit and reproducibility layer recording </w:t>
      </w:r>
      <w:r>
        <w:rPr>
          <w:b/>
          <w:bCs/>
          <w:sz w:val="20"/>
          <w:szCs w:val="20"/>
        </w:rPr>
        <w:t xml:space="preserve">364,430 events across 59 action types</w:t>
      </w:r>
      <w:r>
        <w:rPr>
          <w:sz w:val="20"/>
          <w:szCs w:val="20"/>
        </w:rPr>
        <w:t xml:space="preserve">, with immutable per-message snapshots enabling any communication to be reproduced exactly as sent.</w:t>
      </w:r>
    </w:p>
    <w:p>
      <w:pPr>
        <w:pStyle w:val="ListParagraph"/>
        <w:numPr>
          <w:ilvl w:val="0"/>
          <w:numId w:val="2"/>
        </w:numPr>
        <w:spacing w:after="40" w:before="40"/>
      </w:pPr>
      <w:r>
        <w:rPr>
          <w:sz w:val="20"/>
          <w:szCs w:val="20"/>
        </w:rPr>
        <w:t xml:space="preserve">Consolidated company-wide outbound communication by designing a backwards-compatible API that let </w:t>
      </w:r>
      <w:r>
        <w:rPr>
          <w:b/>
          <w:bCs/>
          <w:sz w:val="20"/>
          <w:szCs w:val="20"/>
        </w:rPr>
        <w:t xml:space="preserve">22 internal client systems</w:t>
      </w:r>
      <w:r>
        <w:rPr>
          <w:sz w:val="20"/>
          <w:szCs w:val="20"/>
        </w:rPr>
        <w:t xml:space="preserve"> migrate onto the platform by repointing rather than rewriting, carrying </w:t>
      </w:r>
      <w:r>
        <w:rPr>
          <w:b/>
          <w:bCs/>
          <w:sz w:val="20"/>
          <w:szCs w:val="20"/>
        </w:rPr>
        <w:t xml:space="preserve">18,113 emails</w:t>
      </w:r>
      <w:r>
        <w:rPr>
          <w:sz w:val="20"/>
          <w:szCs w:val="20"/>
        </w:rPr>
        <w:t xml:space="preserve"> and growing from 47 to 7,075 monthly in four months.</w:t>
      </w:r>
    </w:p>
    <w:p>
      <w:pPr>
        <w:pStyle w:val="ListParagraph"/>
        <w:numPr>
          <w:ilvl w:val="0"/>
          <w:numId w:val="2"/>
        </w:numPr>
        <w:spacing w:after="40" w:before="40"/>
      </w:pPr>
      <w:r>
        <w:rPr>
          <w:sz w:val="20"/>
          <w:szCs w:val="20"/>
        </w:rPr>
        <w:t xml:space="preserve">Replaced </w:t>
      </w:r>
      <w:r>
        <w:rPr>
          <w:b/>
          <w:bCs/>
          <w:sz w:val="20"/>
          <w:szCs w:val="20"/>
        </w:rPr>
        <w:t xml:space="preserve">two</w:t>
      </w:r>
      <w:r>
        <w:rPr>
          <w:sz w:val="20"/>
          <w:szCs w:val="20"/>
        </w:rPr>
        <w:t xml:space="preserve"> legacy production systems — a Google Apps Script orchestration estate (11 business flows reimplemented) and a .NET 8 Azure Functions mail microservice — with a single governed platform.</w:t>
      </w:r>
    </w:p>
    <w:p>
      <w:pPr>
        <w:pStyle w:val="ListParagraph"/>
        <w:numPr>
          <w:ilvl w:val="0"/>
          <w:numId w:val="2"/>
        </w:numPr>
        <w:spacing w:after="40" w:before="40"/>
      </w:pPr>
      <w:r>
        <w:rPr>
          <w:sz w:val="20"/>
          <w:szCs w:val="20"/>
        </w:rPr>
        <w:t xml:space="preserve">Authored </w:t>
      </w:r>
      <w:r>
        <w:rPr>
          <w:b/>
          <w:bCs/>
          <w:sz w:val="20"/>
          <w:szCs w:val="20"/>
        </w:rPr>
        <w:t xml:space="preserve">221 of 228 backend commits (+77,448 lines)</w:t>
      </w:r>
      <w:r>
        <w:rPr>
          <w:sz w:val="20"/>
          <w:szCs w:val="20"/>
        </w:rPr>
        <w:t xml:space="preserve"> across a 155-endpoint, 19-module NestJS service over 34 data models and 66 migrations.</w:t>
      </w:r>
    </w:p>
    <w:p>
      <w:pPr>
        <w:pStyle w:val="Heading2"/>
        <w:spacing w:after="120" w:before="260"/>
      </w:pPr>
      <w:r>
        <w:rPr>
          <w:b/>
          <w:bCs/>
          <w:color w:val="1F3864"/>
          <w:sz w:val="23"/>
          <w:szCs w:val="23"/>
        </w:rPr>
        <w:t xml:space="preserve">High-confidence non-quantified</w:t>
      </w:r>
    </w:p>
    <w:p>
      <w:pPr>
        <w:pStyle w:val="ListParagraph"/>
        <w:numPr>
          <w:ilvl w:val="0"/>
          <w:numId w:val="2"/>
        </w:numPr>
        <w:spacing w:after="40" w:before="40"/>
      </w:pPr>
      <w:r>
        <w:rPr>
          <w:sz w:val="20"/>
          <w:szCs w:val="20"/>
        </w:rPr>
        <w:t xml:space="preserve">Architected a control-plane/execution-plane separation that keeps campaign configuration mutable while guaranteeing sent messages remain reproducible exactly as rendered.</w:t>
      </w:r>
    </w:p>
    <w:p>
      <w:pPr>
        <w:pStyle w:val="ListParagraph"/>
        <w:numPr>
          <w:ilvl w:val="0"/>
          <w:numId w:val="2"/>
        </w:numPr>
        <w:spacing w:after="40" w:before="40"/>
      </w:pPr>
      <w:r>
        <w:rPr>
          <w:sz w:val="20"/>
          <w:szCs w:val="20"/>
        </w:rPr>
        <w:t xml:space="preserve">Designed a provider-adapter abstraction running five integrations concurrently (Brevo, SMTP, CM.com SMS, CM.com WhatsApp, Console), allowing vendor substitution without touching domain logic.</w:t>
      </w:r>
    </w:p>
    <w:p>
      <w:pPr>
        <w:pStyle w:val="ListParagraph"/>
        <w:numPr>
          <w:ilvl w:val="0"/>
          <w:numId w:val="2"/>
        </w:numPr>
        <w:spacing w:after="40" w:before="40"/>
      </w:pPr>
      <w:r>
        <w:rPr>
          <w:sz w:val="20"/>
          <w:szCs w:val="20"/>
        </w:rPr>
        <w:t xml:space="preserve">Implemented invite-only Google OIDC authentication with Workspace-domain enforcement and backend-enforced RBAC, with authorisation never delegated to the UI.</w:t>
      </w:r>
    </w:p>
    <w:p>
      <w:pPr>
        <w:pStyle w:val="ListParagraph"/>
        <w:numPr>
          <w:ilvl w:val="0"/>
          <w:numId w:val="2"/>
        </w:numPr>
        <w:spacing w:after="40" w:before="40"/>
      </w:pPr>
      <w:r>
        <w:rPr>
          <w:sz w:val="20"/>
          <w:szCs w:val="20"/>
        </w:rPr>
        <w:t xml:space="preserve">Built channel-aware suppression and eligibility evaluated before send, supporting FCA/GDPR/PECR-aligned operation.</w:t>
      </w:r>
    </w:p>
    <w:p>
      <w:pPr>
        <w:pStyle w:val="ListParagraph"/>
        <w:numPr>
          <w:ilvl w:val="0"/>
          <w:numId w:val="2"/>
        </w:numPr>
        <w:spacing w:after="40" w:before="40"/>
      </w:pPr>
      <w:r>
        <w:rPr>
          <w:sz w:val="20"/>
          <w:szCs w:val="20"/>
        </w:rPr>
        <w:t xml:space="preserve">Delivered a unified per-customer communication history spanning campaign and API-originated messages, giving the business its first single view of what any individual customer had been sent.</w:t>
      </w:r>
    </w:p>
    <w:p>
      <w:pPr>
        <w:pStyle w:val="ListParagraph"/>
        <w:numPr>
          <w:ilvl w:val="0"/>
          <w:numId w:val="2"/>
        </w:numPr>
        <w:spacing w:after="40" w:before="40"/>
      </w:pPr>
      <w:r>
        <w:rPr>
          <w:sz w:val="20"/>
          <w:szCs w:val="20"/>
        </w:rPr>
        <w:t xml:space="preserve">Replaced a silent-failure model — where the legacy failure handler was an unimplemented stub and failed sends were discovered only by noticing a customer had not been contacted — with recorded failure state, retry lineage and emailed operational summaries.</w:t>
      </w:r>
    </w:p>
    <w:p>
      <w:pPr>
        <w:pStyle w:val="ListParagraph"/>
        <w:numPr>
          <w:ilvl w:val="0"/>
          <w:numId w:val="2"/>
        </w:numPr>
        <w:spacing w:after="40" w:before="40"/>
      </w:pPr>
      <w:r>
        <w:rPr>
          <w:sz w:val="20"/>
          <w:szCs w:val="20"/>
        </w:rPr>
        <w:t xml:space="preserve">Established and maintained a published documentation site as a same-task delivery requirement rather than a trailing chore.</w:t>
      </w:r>
    </w:p>
    <w:p>
      <w:pPr>
        <w:pStyle w:val="ListParagraph"/>
        <w:numPr>
          <w:ilvl w:val="0"/>
          <w:numId w:val="2"/>
        </w:numPr>
        <w:spacing w:after="40" w:before="40"/>
      </w:pPr>
      <w:r>
        <w:rPr>
          <w:sz w:val="20"/>
          <w:szCs w:val="20"/>
        </w:rPr>
        <w:t xml:space="preserve">Diagnosed and fixed a UK/US date-parsing defect that silently transposed day and month in customer-facing communications, shipping it with a named regression test.</w:t>
      </w:r>
    </w:p>
    <w:p>
      <w:pPr>
        <w:pStyle w:val="Heading2"/>
        <w:spacing w:after="120" w:before="260"/>
      </w:pPr>
      <w:r>
        <w:rPr>
          <w:b/>
          <w:bCs/>
          <w:color w:val="1F3864"/>
          <w:sz w:val="23"/>
          <w:szCs w:val="23"/>
        </w:rPr>
        <w:t xml:space="preserve">Requiring confirmation before use</w:t>
      </w:r>
    </w:p>
    <w:p>
      <w:pPr>
        <w:pStyle w:val="ListParagraph"/>
        <w:numPr>
          <w:ilvl w:val="0"/>
          <w:numId w:val="2"/>
        </w:numPr>
        <w:spacing w:after="40" w:before="40"/>
      </w:pPr>
      <w:r>
        <w:rPr>
          <w:sz w:val="20"/>
          <w:szCs w:val="20"/>
        </w:rPr>
        <w:t xml:space="preserve">Any claim of hours saved, cost reduction, or error-rate improvement versus the legacy Google Scripts system — </w:t>
      </w:r>
      <w:r>
        <w:rPr>
          <w:b/>
          <w:bCs/>
          <w:sz w:val="20"/>
          <w:szCs w:val="20"/>
        </w:rPr>
        <w:t xml:space="preserve">no baseline exists</w:t>
      </w:r>
      <w:r>
        <w:rPr>
          <w:sz w:val="20"/>
          <w:szCs w:val="20"/>
        </w:rPr>
        <w:t xml:space="preserve">.</w:t>
      </w:r>
    </w:p>
    <w:p>
      <w:pPr>
        <w:pStyle w:val="ListParagraph"/>
        <w:numPr>
          <w:ilvl w:val="0"/>
          <w:numId w:val="2"/>
        </w:numPr>
        <w:spacing w:after="40" w:before="40"/>
      </w:pPr>
      <w:r>
        <w:rPr>
          <w:sz w:val="20"/>
          <w:szCs w:val="20"/>
        </w:rPr>
        <w:t xml:space="preserve">Any uptime or SLA figure — no monitoring data was available.</w:t>
      </w:r>
    </w:p>
    <w:p>
      <w:pPr>
        <w:pStyle w:val="ListParagraph"/>
        <w:numPr>
          <w:ilvl w:val="0"/>
          <w:numId w:val="2"/>
        </w:numPr>
        <w:spacing w:after="40" w:before="40"/>
      </w:pPr>
      <w:r>
        <w:rPr>
          <w:sz w:val="20"/>
          <w:szCs w:val="20"/>
        </w:rPr>
        <w:t xml:space="preserve">Any unique-customer-reached figure — deliberately not computed to avoid personal data.</w:t>
      </w:r>
    </w:p>
    <w:p>
      <w:pPr>
        <w:pStyle w:val="ListParagraph"/>
        <w:numPr>
          <w:ilvl w:val="0"/>
          <w:numId w:val="2"/>
        </w:numPr>
        <w:spacing w:after="40" w:before="40"/>
      </w:pPr>
      <w:r>
        <w:rPr>
          <w:sz w:val="20"/>
          <w:szCs w:val="20"/>
        </w:rPr>
        <w:t xml:space="preserve">Team-size or leadership framing — only one other contributor appears in history, with 7 commits.</w:t>
      </w:r>
    </w:p>
    <w:p>
      <w:pPr>
        <w:pStyle w:val="Heading1"/>
        <w:pBdr>
          <w:bottom w:val="single" w:color="BFBFBF" w:sz="6" w:space="6"/>
        </w:pBdr>
        <w:spacing w:after="160" w:before="360"/>
      </w:pPr>
      <w:r>
        <w:rPr>
          <w:b/>
          <w:bCs/>
          <w:color w:val="1F3864"/>
          <w:sz w:val="28"/>
          <w:szCs w:val="28"/>
        </w:rPr>
        <w:t xml:space="preserve">17. Portfolio Case Study Material</w:t>
      </w:r>
    </w:p>
    <w:p>
      <w:pPr>
        <w:spacing w:after="140" w:before="60" w:line="276"/>
      </w:pPr>
      <w:r>
        <w:rPr>
          <w:i/>
          <w:iCs/>
          <w:sz w:val="20"/>
          <w:szCs w:val="20"/>
        </w:rPr>
        <w:t xml:space="preserve">This section is an assembly guide, not a retelling — each beat points at the section holding the evidence, so a case study can be drafted without restating the dossier.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DF0F7" w:color="auto" w:val="clear"/>
            <w:tcMar>
              <w:top w:type="dxa" w:w="60"/>
              <w:left w:type="dxa" w:w="100"/>
              <w:bottom w:type="dxa" w:w="60"/>
              <w:right w:type="dxa" w:w="100"/>
            </w:tcMar>
          </w:tcPr>
          <w:p>
            <w:pPr>
              <w:spacing w:after="0" w:before="0"/>
            </w:pPr>
            <w:r>
              <w:rPr>
                <w:b/>
                <w:bCs/>
                <w:sz w:val="18"/>
                <w:szCs w:val="18"/>
              </w:rPr>
              <w:t xml:space="preserve">Case-study beat</w:t>
            </w:r>
          </w:p>
        </w:tc>
        <w:tc>
          <w:tcPr>
            <w:tcW w:type="dxa" w:w="3008"/>
            <w:shd w:fill="EDF0F7" w:color="auto" w:val="clear"/>
            <w:tcMar>
              <w:top w:type="dxa" w:w="60"/>
              <w:left w:type="dxa" w:w="100"/>
              <w:bottom w:type="dxa" w:w="60"/>
              <w:right w:type="dxa" w:w="100"/>
            </w:tcMar>
          </w:tcPr>
          <w:p>
            <w:pPr>
              <w:spacing w:after="0" w:before="0"/>
            </w:pPr>
            <w:r>
              <w:rPr>
                <w:b/>
                <w:bCs/>
                <w:sz w:val="18"/>
                <w:szCs w:val="18"/>
              </w:rPr>
              <w:t xml:space="preserve">Draw from</w:t>
            </w:r>
          </w:p>
        </w:tc>
        <w:tc>
          <w:tcPr>
            <w:tcW w:type="dxa" w:w="3008"/>
            <w:shd w:fill="EDF0F7" w:color="auto" w:val="clear"/>
            <w:tcMar>
              <w:top w:type="dxa" w:w="60"/>
              <w:left w:type="dxa" w:w="100"/>
              <w:bottom w:type="dxa" w:w="60"/>
              <w:right w:type="dxa" w:w="100"/>
            </w:tcMar>
          </w:tcPr>
          <w:p>
            <w:pPr>
              <w:spacing w:after="0" w:before="0"/>
            </w:pPr>
            <w:r>
              <w:rPr>
                <w:b/>
                <w:bCs/>
                <w:sz w:val="18"/>
                <w:szCs w:val="18"/>
              </w:rPr>
              <w:t xml:space="preserve">The line that carries it</w:t>
            </w:r>
          </w:p>
        </w:tc>
      </w:tr>
      <w:tr>
        <w:tc>
          <w:tcPr>
            <w:tcW w:type="dxa" w:w="3010"/>
            <w:tcMar>
              <w:top w:type="dxa" w:w="60"/>
              <w:left w:type="dxa" w:w="100"/>
              <w:bottom w:type="dxa" w:w="60"/>
              <w:right w:type="dxa" w:w="100"/>
            </w:tcMar>
          </w:tcPr>
          <w:p>
            <w:pPr>
              <w:spacing w:after="0" w:before="0"/>
            </w:pPr>
            <w:r>
              <w:rPr>
                <w:sz w:val="18"/>
                <w:szCs w:val="18"/>
              </w:rPr>
              <w:t xml:space="preserve">Context &amp; challenge</w:t>
            </w:r>
          </w:p>
        </w:tc>
        <w:tc>
          <w:tcPr>
            <w:tcW w:type="dxa" w:w="3008"/>
            <w:tcMar>
              <w:top w:type="dxa" w:w="60"/>
              <w:left w:type="dxa" w:w="100"/>
              <w:bottom w:type="dxa" w:w="60"/>
              <w:right w:type="dxa" w:w="100"/>
            </w:tcMar>
          </w:tcPr>
          <w:p>
            <w:pPr>
              <w:spacing w:after="0" w:before="0"/>
            </w:pPr>
            <w:r>
              <w:rPr>
                <w:sz w:val="18"/>
                <w:szCs w:val="18"/>
              </w:rPr>
              <w:t xml:space="preserve">§3</w:t>
            </w:r>
          </w:p>
        </w:tc>
        <w:tc>
          <w:tcPr>
            <w:tcW w:type="dxa" w:w="3008"/>
            <w:tcMar>
              <w:top w:type="dxa" w:w="60"/>
              <w:left w:type="dxa" w:w="100"/>
              <w:bottom w:type="dxa" w:w="60"/>
              <w:right w:type="dxa" w:w="100"/>
            </w:tcMar>
          </w:tcPr>
          <w:p>
            <w:pPr>
              <w:spacing w:after="0" w:before="0"/>
            </w:pPr>
            <w:r>
              <w:rPr>
                <w:sz w:val="18"/>
                <w:szCs w:val="18"/>
              </w:rPr>
              <w:t xml:space="preserve">Two chained legacy systems, silent failure, no record of what reached whom, executive demand for one monitored place</w:t>
            </w:r>
          </w:p>
        </w:tc>
      </w:tr>
      <w:tr>
        <w:tc>
          <w:tcPr>
            <w:tcW w:type="dxa" w:w="3010"/>
            <w:tcMar>
              <w:top w:type="dxa" w:w="60"/>
              <w:left w:type="dxa" w:w="100"/>
              <w:bottom w:type="dxa" w:w="60"/>
              <w:right w:type="dxa" w:w="100"/>
            </w:tcMar>
          </w:tcPr>
          <w:p>
            <w:pPr>
              <w:spacing w:after="0" w:before="0"/>
            </w:pPr>
            <w:r>
              <w:rPr>
                <w:sz w:val="18"/>
                <w:szCs w:val="18"/>
              </w:rPr>
              <w:t xml:space="preserve">My role</w:t>
            </w:r>
          </w:p>
        </w:tc>
        <w:tc>
          <w:tcPr>
            <w:tcW w:type="dxa" w:w="3008"/>
            <w:tcMar>
              <w:top w:type="dxa" w:w="60"/>
              <w:left w:type="dxa" w:w="100"/>
              <w:bottom w:type="dxa" w:w="60"/>
              <w:right w:type="dxa" w:w="100"/>
            </w:tcMar>
          </w:tcPr>
          <w:p>
            <w:pPr>
              <w:spacing w:after="0" w:before="0"/>
            </w:pPr>
            <w:r>
              <w:rPr>
                <w:sz w:val="18"/>
                <w:szCs w:val="18"/>
              </w:rPr>
              <w:t xml:space="preserve">§4</w:t>
            </w:r>
          </w:p>
        </w:tc>
        <w:tc>
          <w:tcPr>
            <w:tcW w:type="dxa" w:w="3008"/>
            <w:tcMar>
              <w:top w:type="dxa" w:w="60"/>
              <w:left w:type="dxa" w:w="100"/>
              <w:bottom w:type="dxa" w:w="60"/>
              <w:right w:type="dxa" w:w="100"/>
            </w:tcMar>
          </w:tcPr>
          <w:p>
            <w:pPr>
              <w:spacing w:after="0" w:before="0"/>
            </w:pPr>
            <w:r>
              <w:rPr>
                <w:sz w:val="18"/>
                <w:szCs w:val="18"/>
              </w:rPr>
              <w:t xml:space="preserve">Architectural ownership; 221/228 backend commits; honest AI-assistance framing</w:t>
            </w:r>
          </w:p>
        </w:tc>
      </w:tr>
      <w:tr>
        <w:tc>
          <w:tcPr>
            <w:tcW w:type="dxa" w:w="3010"/>
            <w:tcMar>
              <w:top w:type="dxa" w:w="60"/>
              <w:left w:type="dxa" w:w="100"/>
              <w:bottom w:type="dxa" w:w="60"/>
              <w:right w:type="dxa" w:w="100"/>
            </w:tcMar>
          </w:tcPr>
          <w:p>
            <w:pPr>
              <w:spacing w:after="0" w:before="0"/>
            </w:pPr>
            <w:r>
              <w:rPr>
                <w:sz w:val="18"/>
                <w:szCs w:val="18"/>
              </w:rPr>
              <w:t xml:space="preserve">Solution &amp; architecture</w:t>
            </w:r>
          </w:p>
        </w:tc>
        <w:tc>
          <w:tcPr>
            <w:tcW w:type="dxa" w:w="3008"/>
            <w:tcMar>
              <w:top w:type="dxa" w:w="60"/>
              <w:left w:type="dxa" w:w="100"/>
              <w:bottom w:type="dxa" w:w="60"/>
              <w:right w:type="dxa" w:w="100"/>
            </w:tcMar>
          </w:tcPr>
          <w:p>
            <w:pPr>
              <w:spacing w:after="0" w:before="0"/>
            </w:pPr>
            <w:r>
              <w:rPr>
                <w:sz w:val="18"/>
                <w:szCs w:val="18"/>
              </w:rPr>
              <w:t xml:space="preserve">§5, §6</w:t>
            </w:r>
          </w:p>
        </w:tc>
        <w:tc>
          <w:tcPr>
            <w:tcW w:type="dxa" w:w="3008"/>
            <w:tcMar>
              <w:top w:type="dxa" w:w="60"/>
              <w:left w:type="dxa" w:w="100"/>
              <w:bottom w:type="dxa" w:w="60"/>
              <w:right w:type="dxa" w:w="100"/>
            </w:tcMar>
          </w:tcPr>
          <w:p>
            <w:pPr>
              <w:spacing w:after="0" w:before="0"/>
            </w:pPr>
            <w:r>
              <w:rPr>
                <w:sz w:val="18"/>
                <w:szCs w:val="18"/>
              </w:rPr>
              <w:t xml:space="preserve">Control/execution plane split; queue-backed delivery; five provider adapters; compatibility API</w:t>
            </w:r>
          </w:p>
        </w:tc>
      </w:tr>
      <w:tr>
        <w:tc>
          <w:tcPr>
            <w:tcW w:type="dxa" w:w="3010"/>
            <w:tcMar>
              <w:top w:type="dxa" w:w="60"/>
              <w:left w:type="dxa" w:w="100"/>
              <w:bottom w:type="dxa" w:w="60"/>
              <w:right w:type="dxa" w:w="100"/>
            </w:tcMar>
          </w:tcPr>
          <w:p>
            <w:pPr>
              <w:spacing w:after="0" w:before="0"/>
            </w:pPr>
            <w:r>
              <w:rPr>
                <w:sz w:val="18"/>
                <w:szCs w:val="18"/>
              </w:rPr>
              <w:t xml:space="preserve">Interesting problems</w:t>
            </w:r>
          </w:p>
        </w:tc>
        <w:tc>
          <w:tcPr>
            <w:tcW w:type="dxa" w:w="3008"/>
            <w:tcMar>
              <w:top w:type="dxa" w:w="60"/>
              <w:left w:type="dxa" w:w="100"/>
              <w:bottom w:type="dxa" w:w="60"/>
              <w:right w:type="dxa" w:w="100"/>
            </w:tcMar>
          </w:tcPr>
          <w:p>
            <w:pPr>
              <w:spacing w:after="0" w:before="0"/>
            </w:pPr>
            <w:r>
              <w:rPr>
                <w:sz w:val="18"/>
                <w:szCs w:val="18"/>
              </w:rPr>
              <w:t xml:space="preserve">§10, §12</w:t>
            </w:r>
          </w:p>
        </w:tc>
        <w:tc>
          <w:tcPr>
            <w:tcW w:type="dxa" w:w="3008"/>
            <w:tcMar>
              <w:top w:type="dxa" w:w="60"/>
              <w:left w:type="dxa" w:w="100"/>
              <w:bottom w:type="dxa" w:w="60"/>
              <w:right w:type="dxa" w:w="100"/>
            </w:tcMar>
          </w:tcPr>
          <w:p>
            <w:pPr>
              <w:spacing w:after="0" w:before="0"/>
            </w:pPr>
            <w:r>
              <w:rPr>
                <w:sz w:val="18"/>
                <w:szCs w:val="18"/>
              </w:rPr>
              <w:t xml:space="preserve">Snapshot reproducibility; idempotency across four trigger paths; out-of-order webhook reconciliation; the dd/MM defect</w:t>
            </w:r>
          </w:p>
        </w:tc>
      </w:tr>
      <w:tr>
        <w:tc>
          <w:tcPr>
            <w:tcW w:type="dxa" w:w="3010"/>
            <w:tcMar>
              <w:top w:type="dxa" w:w="60"/>
              <w:left w:type="dxa" w:w="100"/>
              <w:bottom w:type="dxa" w:w="60"/>
              <w:right w:type="dxa" w:w="100"/>
            </w:tcMar>
          </w:tcPr>
          <w:p>
            <w:pPr>
              <w:spacing w:after="0" w:before="0"/>
            </w:pPr>
            <w:r>
              <w:rPr>
                <w:sz w:val="18"/>
                <w:szCs w:val="18"/>
              </w:rPr>
              <w:t xml:space="preserve">Key decision</w:t>
            </w:r>
          </w:p>
        </w:tc>
        <w:tc>
          <w:tcPr>
            <w:tcW w:type="dxa" w:w="3008"/>
            <w:tcMar>
              <w:top w:type="dxa" w:w="60"/>
              <w:left w:type="dxa" w:w="100"/>
              <w:bottom w:type="dxa" w:w="60"/>
              <w:right w:type="dxa" w:w="100"/>
            </w:tcMar>
          </w:tcPr>
          <w:p>
            <w:pPr>
              <w:spacing w:after="0" w:before="0"/>
            </w:pPr>
            <w:r>
              <w:rPr>
                <w:sz w:val="18"/>
                <w:szCs w:val="18"/>
              </w:rPr>
              <w:t xml:space="preserve">§11</w:t>
            </w:r>
          </w:p>
        </w:tc>
        <w:tc>
          <w:tcPr>
            <w:tcW w:type="dxa" w:w="3008"/>
            <w:tcMar>
              <w:top w:type="dxa" w:w="60"/>
              <w:left w:type="dxa" w:w="100"/>
              <w:bottom w:type="dxa" w:w="60"/>
              <w:right w:type="dxa" w:w="100"/>
            </w:tcMar>
          </w:tcPr>
          <w:p>
            <w:pPr>
              <w:spacing w:after="0" w:before="0"/>
            </w:pPr>
            <w:r>
              <w:rPr>
                <w:sz w:val="18"/>
                <w:szCs w:val="18"/>
              </w:rPr>
              <w:t xml:space="preserve">Preserving the legacy contract verbatim — adoption as the binding constraint</w:t>
            </w:r>
          </w:p>
        </w:tc>
      </w:tr>
      <w:tr>
        <w:tc>
          <w:tcPr>
            <w:tcW w:type="dxa" w:w="3010"/>
            <w:tcMar>
              <w:top w:type="dxa" w:w="60"/>
              <w:left w:type="dxa" w:w="100"/>
              <w:bottom w:type="dxa" w:w="60"/>
              <w:right w:type="dxa" w:w="100"/>
            </w:tcMar>
          </w:tcPr>
          <w:p>
            <w:pPr>
              <w:spacing w:after="0" w:before="0"/>
            </w:pPr>
            <w:r>
              <w:rPr>
                <w:sz w:val="18"/>
                <w:szCs w:val="18"/>
              </w:rPr>
              <w:t xml:space="preserve">Results</w:t>
            </w:r>
          </w:p>
        </w:tc>
        <w:tc>
          <w:tcPr>
            <w:tcW w:type="dxa" w:w="3008"/>
            <w:tcMar>
              <w:top w:type="dxa" w:w="60"/>
              <w:left w:type="dxa" w:w="100"/>
              <w:bottom w:type="dxa" w:w="60"/>
              <w:right w:type="dxa" w:w="100"/>
            </w:tcMar>
          </w:tcPr>
          <w:p>
            <w:pPr>
              <w:spacing w:after="0" w:before="0"/>
            </w:pPr>
            <w:r>
              <w:rPr>
                <w:sz w:val="18"/>
                <w:szCs w:val="18"/>
              </w:rPr>
              <w:t xml:space="preserve">§8, §9</w:t>
            </w:r>
          </w:p>
        </w:tc>
        <w:tc>
          <w:tcPr>
            <w:tcW w:type="dxa" w:w="3008"/>
            <w:tcMar>
              <w:top w:type="dxa" w:w="60"/>
              <w:left w:type="dxa" w:w="100"/>
              <w:bottom w:type="dxa" w:w="60"/>
              <w:right w:type="dxa" w:w="100"/>
            </w:tcMar>
          </w:tcPr>
          <w:p>
            <w:pPr>
              <w:spacing w:after="0" w:before="0"/>
            </w:pPr>
            <w:r>
              <w:rPr>
                <w:sz w:val="18"/>
                <w:szCs w:val="18"/>
              </w:rPr>
              <w:t xml:space="preserve">85,482 campaign messages; 22 migrated clients; zero duplicate dispatches; 99.4% automated. Qualitatively: first per-customer history, failure now visible</w:t>
            </w:r>
          </w:p>
        </w:tc>
      </w:tr>
      <w:tr>
        <w:tc>
          <w:tcPr>
            <w:tcW w:type="dxa" w:w="3010"/>
            <w:tcMar>
              <w:top w:type="dxa" w:w="60"/>
              <w:left w:type="dxa" w:w="100"/>
              <w:bottom w:type="dxa" w:w="60"/>
              <w:right w:type="dxa" w:w="100"/>
            </w:tcMar>
          </w:tcPr>
          <w:p>
            <w:pPr>
              <w:spacing w:after="0" w:before="0"/>
            </w:pPr>
            <w:r>
              <w:rPr>
                <w:sz w:val="18"/>
                <w:szCs w:val="18"/>
              </w:rPr>
              <w:t xml:space="preserve">What I'd improve</w:t>
            </w:r>
          </w:p>
        </w:tc>
        <w:tc>
          <w:tcPr>
            <w:tcW w:type="dxa" w:w="3008"/>
            <w:tcMar>
              <w:top w:type="dxa" w:w="60"/>
              <w:left w:type="dxa" w:w="100"/>
              <w:bottom w:type="dxa" w:w="60"/>
              <w:right w:type="dxa" w:w="100"/>
            </w:tcMar>
          </w:tcPr>
          <w:p>
            <w:pPr>
              <w:spacing w:after="0" w:before="0"/>
            </w:pPr>
            <w:r>
              <w:rPr>
                <w:sz w:val="18"/>
                <w:szCs w:val="18"/>
              </w:rPr>
              <w:t xml:space="preserve">§14</w:t>
            </w:r>
          </w:p>
        </w:tc>
        <w:tc>
          <w:tcPr>
            <w:tcW w:type="dxa" w:w="3008"/>
            <w:tcMar>
              <w:top w:type="dxa" w:w="60"/>
              <w:left w:type="dxa" w:w="100"/>
              <w:bottom w:type="dxa" w:w="60"/>
              <w:right w:type="dxa" w:w="100"/>
            </w:tcMar>
          </w:tcPr>
          <w:p>
            <w:pPr>
              <w:spacing w:after="0" w:before="0"/>
            </w:pPr>
            <w:r>
              <w:rPr>
                <w:sz w:val="18"/>
                <w:szCs w:val="18"/>
              </w:rPr>
              <w:t xml:space="preserve">Split the 10,463-line service; grow coverage with the domain; lint-ban </w:t>
            </w:r>
            <w:r>
              <w:rPr>
                <w:rFonts w:ascii="Consolas" w:cs="Consolas" w:eastAsia="Consolas" w:hAnsi="Consolas"/>
                <w:sz w:val="18"/>
                <w:szCs w:val="18"/>
              </w:rPr>
              <w:t xml:space="preserve">new Date(string)</w:t>
            </w:r>
            <w:r>
              <w:rPr>
                <w:sz w:val="18"/>
                <w:szCs w:val="18"/>
              </w:rPr>
              <w:t xml:space="preserve">; reconcile the sync metrics</w:t>
            </w:r>
          </w:p>
        </w:tc>
      </w:tr>
    </w:tbl>
    <w:p>
      <w:pPr>
        <w:spacing w:after="180"/>
      </w:pPr>
    </w:p>
    <w:p>
      <w:pPr>
        <w:spacing w:after="140" w:before="60" w:line="276"/>
      </w:pPr>
      <w:r>
        <w:rPr>
          <w:b/>
          <w:bCs/>
          <w:sz w:val="20"/>
          <w:szCs w:val="20"/>
        </w:rPr>
        <w:t xml:space="preserve">Narrative spine to use:</w:t>
      </w:r>
      <w:r>
        <w:rPr>
          <w:sz w:val="20"/>
          <w:szCs w:val="20"/>
        </w:rPr>
        <w:t xml:space="preserve"> a system nobody could measure → read the source to find out </w:t>
      </w:r>
      <w:r>
        <w:rPr>
          <w:i/>
          <w:iCs/>
          <w:sz w:val="20"/>
          <w:szCs w:val="20"/>
        </w:rPr>
        <w:t xml:space="preserve">why</w:t>
      </w:r>
      <w:r>
        <w:rPr>
          <w:sz w:val="20"/>
          <w:szCs w:val="20"/>
        </w:rPr>
        <w:t xml:space="preserve"> (the TODO stub) → build the missing capabilities as structure, not features → make adoption frictionless so consolidation actually happens → prove it with numbers that are honestly qualified.</w:t>
      </w:r>
    </w:p>
    <w:p>
      <w:pPr>
        <w:pStyle w:val="Heading1"/>
        <w:pBdr>
          <w:bottom w:val="single" w:color="BFBFBF" w:sz="6" w:space="6"/>
        </w:pBdr>
        <w:spacing w:after="160" w:before="360"/>
      </w:pPr>
      <w:r>
        <w:rPr>
          <w:b/>
          <w:bCs/>
          <w:color w:val="1F3864"/>
          <w:sz w:val="28"/>
          <w:szCs w:val="28"/>
        </w:rPr>
        <w:t xml:space="preserve">18. Interview Story Bank</w:t>
      </w:r>
    </w:p>
    <w:p>
      <w:pPr>
        <w:spacing w:after="140" w:before="60" w:line="276"/>
      </w:pPr>
      <w:r>
        <w:rPr>
          <w:b/>
          <w:bCs/>
          <w:sz w:val="20"/>
          <w:szCs w:val="20"/>
        </w:rPr>
        <w:t xml:space="preserve">Correctness under invisibility — the dd/MM bug</w:t>
      </w:r>
      <w:r>
        <w:rPr>
          <w:sz w:val="20"/>
          <w:szCs w:val="20"/>
        </w:rPr>
        <w:t xml:space="preserve"> (§12). </w:t>
      </w:r>
      <w:r>
        <w:rPr>
          <w:i/>
          <w:iCs/>
          <w:sz w:val="20"/>
          <w:szCs w:val="20"/>
        </w:rPr>
        <w:t xml:space="preserve">S:</w:t>
      </w:r>
      <w:r>
        <w:rPr>
          <w:sz w:val="20"/>
          <w:szCs w:val="20"/>
        </w:rPr>
        <w:t xml:space="preserve"> preset flows map source dates into customer-facing insurance emails. </w:t>
      </w:r>
      <w:r>
        <w:rPr>
          <w:i/>
          <w:iCs/>
          <w:sz w:val="20"/>
          <w:szCs w:val="20"/>
        </w:rPr>
        <w:t xml:space="preserve">T:</w:t>
      </w:r>
      <w:r>
        <w:rPr>
          <w:sz w:val="20"/>
          <w:szCs w:val="20"/>
        </w:rPr>
        <w:t xml:space="preserve"> dates were occasionally wrong with no error anywhere. </w:t>
      </w:r>
      <w:r>
        <w:rPr>
          <w:i/>
          <w:iCs/>
          <w:sz w:val="20"/>
          <w:szCs w:val="20"/>
        </w:rPr>
        <w:t xml:space="preserve">A:</w:t>
      </w:r>
      <w:r>
        <w:rPr>
          <w:sz w:val="20"/>
          <w:szCs w:val="20"/>
        </w:rPr>
        <w:t xml:space="preserve"> traced to </w:t>
      </w:r>
      <w:r>
        <w:rPr>
          <w:rFonts w:ascii="Consolas" w:cs="Consolas" w:eastAsia="Consolas" w:hAnsi="Consolas"/>
          <w:sz w:val="18"/>
          <w:szCs w:val="18"/>
        </w:rPr>
        <w:t xml:space="preserve">new Date()</w:t>
      </w:r>
      <w:r>
        <w:rPr>
          <w:sz w:val="20"/>
          <w:szCs w:val="20"/>
        </w:rPr>
        <w:t xml:space="preserve"> applying US month-day order to UK strings — wrong only for day values ≤ 12, so invisible most of the month; replaced with explicit Luxon parsing in a shared helper and added a regression test named for the failure. </w:t>
      </w:r>
      <w:r>
        <w:rPr>
          <w:i/>
          <w:iCs/>
          <w:sz w:val="20"/>
          <w:szCs w:val="20"/>
        </w:rPr>
        <w:t xml:space="preserve">R:</w:t>
      </w:r>
      <w:r>
        <w:rPr>
          <w:sz w:val="20"/>
          <w:szCs w:val="20"/>
        </w:rPr>
        <w:t xml:space="preserve"> commit </w:t>
      </w:r>
      <w:r>
        <w:rPr>
          <w:rFonts w:ascii="Consolas" w:cs="Consolas" w:eastAsia="Consolas" w:hAnsi="Consolas"/>
          <w:sz w:val="18"/>
          <w:szCs w:val="18"/>
        </w:rPr>
        <w:t xml:space="preserve">22d52e0</w:t>
      </w:r>
      <w:r>
        <w:rPr>
          <w:sz w:val="20"/>
          <w:szCs w:val="20"/>
        </w:rPr>
        <w:t xml:space="preserve">; 98 of 146 added lines were test code. </w:t>
      </w:r>
      <w:r>
        <w:rPr>
          <w:i/>
          <w:iCs/>
          <w:sz w:val="20"/>
          <w:szCs w:val="20"/>
        </w:rPr>
        <w:t xml:space="preserve">E:</w:t>
      </w:r>
      <w:r>
        <w:rPr>
          <w:sz w:val="20"/>
          <w:szCs w:val="20"/>
        </w:rPr>
        <w:t xml:space="preserve"> commit diff.</w:t>
      </w:r>
    </w:p>
    <w:p>
      <w:pPr>
        <w:spacing w:after="140" w:before="60" w:line="276"/>
      </w:pPr>
      <w:r>
        <w:rPr>
          <w:b/>
          <w:bCs/>
          <w:sz w:val="20"/>
          <w:szCs w:val="20"/>
        </w:rPr>
        <w:t xml:space="preserve">Designing for duplicates you cannot prevent</w:t>
      </w:r>
      <w:r>
        <w:rPr>
          <w:sz w:val="20"/>
          <w:szCs w:val="20"/>
        </w:rPr>
        <w:t xml:space="preserve"> (§10, §12). </w:t>
      </w:r>
      <w:r>
        <w:rPr>
          <w:i/>
          <w:iCs/>
          <w:sz w:val="20"/>
          <w:szCs w:val="20"/>
        </w:rPr>
        <w:t xml:space="preserve">S:</w:t>
      </w:r>
      <w:r>
        <w:rPr>
          <w:sz w:val="20"/>
          <w:szCs w:val="20"/>
        </w:rPr>
        <w:t xml:space="preserve"> a continuous poller, at-least-once queue delivery, and overlapping schedules. </w:t>
      </w:r>
      <w:r>
        <w:rPr>
          <w:i/>
          <w:iCs/>
          <w:sz w:val="20"/>
          <w:szCs w:val="20"/>
        </w:rPr>
        <w:t xml:space="preserve">T:</w:t>
      </w:r>
      <w:r>
        <w:rPr>
          <w:sz w:val="20"/>
          <w:szCs w:val="20"/>
        </w:rPr>
        <w:t xml:space="preserve"> guarantee no customer is messaged twice. </w:t>
      </w:r>
      <w:r>
        <w:rPr>
          <w:i/>
          <w:iCs/>
          <w:sz w:val="20"/>
          <w:szCs w:val="20"/>
        </w:rPr>
        <w:t xml:space="preserve">A:</w:t>
      </w:r>
      <w:r>
        <w:rPr>
          <w:sz w:val="20"/>
          <w:szCs w:val="20"/>
        </w:rPr>
        <w:t xml:space="preserve"> moved the invariant into the schema — composite unique constraints on the natural keys — rather than trusting application checks; then fixed the fallout when a single batch contained internal duplicates and aborted the whole sync. </w:t>
      </w:r>
      <w:r>
        <w:rPr>
          <w:i/>
          <w:iCs/>
          <w:sz w:val="20"/>
          <w:szCs w:val="20"/>
        </w:rPr>
        <w:t xml:space="preserve">R:</w:t>
      </w:r>
      <w:r>
        <w:rPr>
          <w:sz w:val="20"/>
          <w:szCs w:val="20"/>
        </w:rPr>
        <w:t xml:space="preserve"> 1,146 dispatches across 1,146 distinct slots; 149,065/149,321 syncs succeed. </w:t>
      </w:r>
      <w:r>
        <w:rPr>
          <w:i/>
          <w:iCs/>
          <w:sz w:val="20"/>
          <w:szCs w:val="20"/>
        </w:rPr>
        <w:t xml:space="preserve">E:</w:t>
      </w:r>
      <w:r>
        <w:rPr>
          <w:sz w:val="20"/>
          <w:szCs w:val="20"/>
        </w:rPr>
        <w:t xml:space="preserve"> schema and production counts.</w:t>
      </w:r>
    </w:p>
    <w:p>
      <w:pPr>
        <w:spacing w:after="140" w:before="60" w:line="276"/>
      </w:pPr>
      <w:r>
        <w:rPr>
          <w:b/>
          <w:bCs/>
          <w:sz w:val="20"/>
          <w:szCs w:val="20"/>
        </w:rPr>
        <w:t xml:space="preserve">Making compliance structural, not procedural.</w:t>
      </w:r>
      <w:r>
        <w:rPr>
          <w:sz w:val="20"/>
          <w:szCs w:val="20"/>
        </w:rPr>
        <w:t xml:space="preserve"> </w:t>
      </w:r>
      <w:r>
        <w:rPr>
          <w:i/>
          <w:iCs/>
          <w:sz w:val="20"/>
          <w:szCs w:val="20"/>
        </w:rPr>
        <w:t xml:space="preserve">S:</w:t>
      </w:r>
      <w:r>
        <w:rPr>
          <w:sz w:val="20"/>
          <w:szCs w:val="20"/>
        </w:rPr>
        <w:t xml:space="preserve"> FCA/GDPR/PECR-aligned outbound comms. </w:t>
      </w:r>
      <w:r>
        <w:rPr>
          <w:i/>
          <w:iCs/>
          <w:sz w:val="20"/>
          <w:szCs w:val="20"/>
        </w:rPr>
        <w:t xml:space="preserve">T:</w:t>
      </w:r>
      <w:r>
        <w:rPr>
          <w:sz w:val="20"/>
          <w:szCs w:val="20"/>
        </w:rPr>
        <w:t xml:space="preserve"> prove what was sent, to whom, approved by whom. </w:t>
      </w:r>
      <w:r>
        <w:rPr>
          <w:i/>
          <w:iCs/>
          <w:sz w:val="20"/>
          <w:szCs w:val="20"/>
        </w:rPr>
        <w:t xml:space="preserve">A:</w:t>
      </w:r>
      <w:r>
        <w:rPr>
          <w:sz w:val="20"/>
          <w:szCs w:val="20"/>
        </w:rPr>
        <w:t xml:space="preserve"> backend-enforced approval, immutable execution snapshots, 59 audited action types, channel-aware pre-send suppression. </w:t>
      </w:r>
      <w:r>
        <w:rPr>
          <w:i/>
          <w:iCs/>
          <w:sz w:val="20"/>
          <w:szCs w:val="20"/>
        </w:rPr>
        <w:t xml:space="preserve">R:</w:t>
      </w:r>
      <w:r>
        <w:rPr>
          <w:sz w:val="20"/>
          <w:szCs w:val="20"/>
        </w:rPr>
        <w:t xml:space="preserve"> 364,430 audit events; 206 recorded approvals; every message reproducible. </w:t>
      </w:r>
      <w:r>
        <w:rPr>
          <w:i/>
          <w:iCs/>
          <w:sz w:val="20"/>
          <w:szCs w:val="20"/>
        </w:rPr>
        <w:t xml:space="preserve">E:</w:t>
      </w:r>
      <w:r>
        <w:rPr>
          <w:sz w:val="20"/>
          <w:szCs w:val="20"/>
        </w:rPr>
        <w:t xml:space="preserve"> schema, audit table, product-scope doc.</w:t>
      </w:r>
    </w:p>
    <w:p>
      <w:pPr>
        <w:spacing w:after="140" w:before="60" w:line="276"/>
      </w:pPr>
      <w:r>
        <w:rPr>
          <w:b/>
          <w:bCs/>
          <w:sz w:val="20"/>
          <w:szCs w:val="20"/>
        </w:rPr>
        <w:t xml:space="preserve">Deciding what a metric means.</w:t>
      </w:r>
      <w:r>
        <w:rPr>
          <w:sz w:val="20"/>
          <w:szCs w:val="20"/>
        </w:rPr>
        <w:t xml:space="preserve"> </w:t>
      </w:r>
      <w:r>
        <w:rPr>
          <w:i/>
          <w:iCs/>
          <w:sz w:val="20"/>
          <w:szCs w:val="20"/>
        </w:rPr>
        <w:t xml:space="preserve">S:</w:t>
      </w:r>
      <w:r>
        <w:rPr>
          <w:sz w:val="20"/>
          <w:szCs w:val="20"/>
        </w:rPr>
        <w:t xml:space="preserve"> two code paths logged "sync failed" at different granularities, producing 21,608 versus 256. </w:t>
      </w:r>
      <w:r>
        <w:rPr>
          <w:i/>
          <w:iCs/>
          <w:sz w:val="20"/>
          <w:szCs w:val="20"/>
        </w:rPr>
        <w:t xml:space="preserve">T:</w:t>
      </w:r>
      <w:r>
        <w:rPr>
          <w:sz w:val="20"/>
          <w:szCs w:val="20"/>
        </w:rPr>
        <w:t xml:space="preserve"> report reliability honestly. </w:t>
      </w:r>
      <w:r>
        <w:rPr>
          <w:i/>
          <w:iCs/>
          <w:sz w:val="20"/>
          <w:szCs w:val="20"/>
        </w:rPr>
        <w:t xml:space="preserve">A:</w:t>
      </w:r>
      <w:r>
        <w:rPr>
          <w:sz w:val="20"/>
          <w:szCs w:val="20"/>
        </w:rPr>
        <w:t xml:space="preserve"> established which record is authoritative, reported the run table, and documented the discrepancy rather than quoting the flattering number. </w:t>
      </w:r>
      <w:r>
        <w:rPr>
          <w:i/>
          <w:iCs/>
          <w:sz w:val="20"/>
          <w:szCs w:val="20"/>
        </w:rPr>
        <w:t xml:space="preserve">R:</w:t>
      </w:r>
      <w:r>
        <w:rPr>
          <w:sz w:val="20"/>
          <w:szCs w:val="20"/>
        </w:rPr>
        <w:t xml:space="preserve"> a defensible 99.83%. </w:t>
      </w:r>
      <w:r>
        <w:rPr>
          <w:i/>
          <w:iCs/>
          <w:sz w:val="20"/>
          <w:szCs w:val="20"/>
        </w:rPr>
        <w:t xml:space="preserve">E:</w:t>
      </w:r>
      <w:r>
        <w:rPr>
          <w:sz w:val="20"/>
          <w:szCs w:val="20"/>
        </w:rPr>
        <w:t xml:space="preserve"> §8.5. </w:t>
      </w:r>
      <w:r>
        <w:rPr>
          <w:i/>
          <w:iCs/>
          <w:sz w:val="20"/>
          <w:szCs w:val="20"/>
        </w:rPr>
        <w:t xml:space="preserve">(Also a good answer to "tell me about a time you resisted a better-sounding number.")</w:t>
      </w:r>
    </w:p>
    <w:p>
      <w:pPr>
        <w:spacing w:after="140" w:before="60" w:line="276"/>
      </w:pPr>
      <w:r>
        <w:rPr>
          <w:b/>
          <w:bCs/>
          <w:sz w:val="20"/>
          <w:szCs w:val="20"/>
        </w:rPr>
        <w:t xml:space="preserve">Using AI tooling without losing ownership.</w:t>
      </w:r>
      <w:r>
        <w:rPr>
          <w:sz w:val="20"/>
          <w:szCs w:val="20"/>
        </w:rPr>
        <w:t xml:space="preserve"> </w:t>
      </w:r>
      <w:r>
        <w:rPr>
          <w:i/>
          <w:iCs/>
          <w:sz w:val="20"/>
          <w:szCs w:val="20"/>
        </w:rPr>
        <w:t xml:space="preserve">S:</w:t>
      </w:r>
      <w:r>
        <w:rPr>
          <w:sz w:val="20"/>
          <w:szCs w:val="20"/>
        </w:rPr>
        <w:t xml:space="preserve"> Lovable and coding agents in a regulated codebase. </w:t>
      </w:r>
      <w:r>
        <w:rPr>
          <w:i/>
          <w:iCs/>
          <w:sz w:val="20"/>
          <w:szCs w:val="20"/>
        </w:rPr>
        <w:t xml:space="preserve">T:</w:t>
      </w:r>
      <w:r>
        <w:rPr>
          <w:sz w:val="20"/>
          <w:szCs w:val="20"/>
        </w:rPr>
        <w:t xml:space="preserve"> move fast without AI owning business logic or auth. </w:t>
      </w:r>
      <w:r>
        <w:rPr>
          <w:i/>
          <w:iCs/>
          <w:sz w:val="20"/>
          <w:szCs w:val="20"/>
        </w:rPr>
        <w:t xml:space="preserve">A:</w:t>
      </w:r>
      <w:r>
        <w:rPr>
          <w:sz w:val="20"/>
          <w:szCs w:val="20"/>
        </w:rPr>
        <w:t xml:space="preserve"> wrote </w:t>
      </w:r>
      <w:r>
        <w:rPr>
          <w:rFonts w:ascii="Consolas" w:cs="Consolas" w:eastAsia="Consolas" w:hAnsi="Consolas"/>
          <w:sz w:val="18"/>
          <w:szCs w:val="18"/>
        </w:rPr>
        <w:t xml:space="preserve">AGENTS.md</w:t>
      </w:r>
      <w:r>
        <w:rPr>
          <w:sz w:val="20"/>
          <w:szCs w:val="20"/>
        </w:rPr>
        <w:t xml:space="preserve"> defining workspace boundaries, architectural direction, auth rules and validation gates before heavy use. </w:t>
      </w:r>
      <w:r>
        <w:rPr>
          <w:i/>
          <w:iCs/>
          <w:sz w:val="20"/>
          <w:szCs w:val="20"/>
        </w:rPr>
        <w:t xml:space="preserve">R:</w:t>
      </w:r>
      <w:r>
        <w:rPr>
          <w:sz w:val="20"/>
          <w:szCs w:val="20"/>
        </w:rPr>
        <w:t xml:space="preserve"> bot commits cease after week one; all later frontend work hand-directed; boundaries held. </w:t>
      </w:r>
      <w:r>
        <w:rPr>
          <w:i/>
          <w:iCs/>
          <w:sz w:val="20"/>
          <w:szCs w:val="20"/>
        </w:rPr>
        <w:t xml:space="preserve">E:</w:t>
      </w:r>
      <w:r>
        <w:rPr>
          <w:sz w:val="20"/>
          <w:szCs w:val="20"/>
        </w:rPr>
        <w:t xml:space="preserve"> </w:t>
      </w:r>
      <w:r>
        <w:rPr>
          <w:rFonts w:ascii="Consolas" w:cs="Consolas" w:eastAsia="Consolas" w:hAnsi="Consolas"/>
          <w:sz w:val="18"/>
          <w:szCs w:val="18"/>
        </w:rPr>
        <w:t xml:space="preserve">AGENTS.md</w:t>
      </w:r>
      <w:r>
        <w:rPr>
          <w:sz w:val="20"/>
          <w:szCs w:val="20"/>
        </w:rPr>
        <w:t xml:space="preserve">, commit authorship timeline. </w:t>
      </w:r>
      <w:r>
        <w:rPr>
          <w:i/>
          <w:iCs/>
          <w:sz w:val="20"/>
          <w:szCs w:val="20"/>
        </w:rPr>
        <w:t xml:space="preserve">(Honest, current, and increasingly asked about.)</w:t>
      </w:r>
    </w:p>
    <w:p>
      <w:pPr>
        <w:spacing w:after="140" w:before="60" w:line="276"/>
      </w:pPr>
      <w:r>
        <w:rPr>
          <w:b/>
          <w:bCs/>
          <w:sz w:val="20"/>
          <w:szCs w:val="20"/>
        </w:rPr>
        <w:t xml:space="preserve">Replacing a system nobody could measure.</w:t>
      </w:r>
      <w:r>
        <w:rPr>
          <w:sz w:val="20"/>
          <w:szCs w:val="20"/>
        </w:rPr>
        <w:t xml:space="preserve"> </w:t>
      </w:r>
      <w:r>
        <w:rPr>
          <w:i/>
          <w:iCs/>
          <w:sz w:val="20"/>
          <w:szCs w:val="20"/>
        </w:rPr>
        <w:t xml:space="preserve">S:</w:t>
      </w:r>
      <w:r>
        <w:rPr>
          <w:sz w:val="20"/>
          <w:szCs w:val="20"/>
        </w:rPr>
        <w:t xml:space="preserve"> communications ran through Apps Scripts and a mail microservice with no central record of what reached whom; executives wanted one monitored place. </w:t>
      </w:r>
      <w:r>
        <w:rPr>
          <w:i/>
          <w:iCs/>
          <w:sz w:val="20"/>
          <w:szCs w:val="20"/>
        </w:rPr>
        <w:t xml:space="preserve">T:</w:t>
      </w:r>
      <w:r>
        <w:rPr>
          <w:sz w:val="20"/>
          <w:szCs w:val="20"/>
        </w:rPr>
        <w:t xml:space="preserve"> justify and design a replacement without a baseline to argue from. </w:t>
      </w:r>
      <w:r>
        <w:rPr>
          <w:i/>
          <w:iCs/>
          <w:sz w:val="20"/>
          <w:szCs w:val="20"/>
        </w:rPr>
        <w:t xml:space="preserve">A:</w:t>
      </w:r>
      <w:r>
        <w:rPr>
          <w:sz w:val="20"/>
          <w:szCs w:val="20"/>
        </w:rPr>
        <w:t xml:space="preserve"> read the legacy source for the failure mechanism rather than relying on anecdote — found the failure notifier was an unimplemented </w:t>
      </w:r>
      <w:r>
        <w:rPr>
          <w:rFonts w:ascii="Consolas" w:cs="Consolas" w:eastAsia="Consolas" w:hAnsi="Consolas"/>
          <w:sz w:val="18"/>
          <w:szCs w:val="18"/>
        </w:rPr>
        <w:t xml:space="preserve">//todo send email</w:t>
      </w:r>
      <w:r>
        <w:rPr>
          <w:sz w:val="20"/>
          <w:szCs w:val="20"/>
        </w:rPr>
        <w:t xml:space="preserve"> stub and that only per-process "row picked up" markers were persisted; designed UCP so the missing capabilities (send-level outcomes, per-customer history, approval, audit) were structural. </w:t>
      </w:r>
      <w:r>
        <w:rPr>
          <w:i/>
          <w:iCs/>
          <w:sz w:val="20"/>
          <w:szCs w:val="20"/>
        </w:rPr>
        <w:t xml:space="preserve">R:</w:t>
      </w:r>
      <w:r>
        <w:rPr>
          <w:sz w:val="20"/>
          <w:szCs w:val="20"/>
        </w:rPr>
        <w:t xml:space="preserve"> 22 client systems migrated onto the platform; every message now attributable to a customer and a run. </w:t>
      </w:r>
      <w:r>
        <w:rPr>
          <w:i/>
          <w:iCs/>
          <w:sz w:val="20"/>
          <w:szCs w:val="20"/>
        </w:rPr>
        <w:t xml:space="preserve">E:</w:t>
      </w:r>
      <w:r>
        <w:rPr>
          <w:sz w:val="20"/>
          <w:szCs w:val="20"/>
        </w:rPr>
        <w:t xml:space="preserve"> legacy source; production counts. </w:t>
      </w:r>
      <w:r>
        <w:rPr>
          <w:i/>
          <w:iCs/>
          <w:sz w:val="20"/>
          <w:szCs w:val="20"/>
        </w:rPr>
        <w:t xml:space="preserve">(Also the honest answer to "what metrics did you improve?" — explain why no baseline could exist, then show the capability delta.)</w:t>
      </w:r>
    </w:p>
    <w:p>
      <w:pPr>
        <w:spacing w:after="140" w:before="60" w:line="276"/>
      </w:pPr>
      <w:r>
        <w:rPr>
          <w:b/>
          <w:bCs/>
          <w:sz w:val="20"/>
          <w:szCs w:val="20"/>
        </w:rPr>
        <w:t xml:space="preserve">Migration velocity as a design constraint.</w:t>
      </w:r>
      <w:r>
        <w:rPr>
          <w:sz w:val="20"/>
          <w:szCs w:val="20"/>
        </w:rPr>
        <w:t xml:space="preserve"> </w:t>
      </w:r>
      <w:r>
        <w:rPr>
          <w:i/>
          <w:iCs/>
          <w:sz w:val="20"/>
          <w:szCs w:val="20"/>
        </w:rPr>
        <w:t xml:space="preserve">S:</w:t>
      </w:r>
      <w:r>
        <w:rPr>
          <w:sz w:val="20"/>
          <w:szCs w:val="20"/>
        </w:rPr>
        <w:t xml:space="preserve"> consolidation fails if every calling system must be rewritten. </w:t>
      </w:r>
      <w:r>
        <w:rPr>
          <w:i/>
          <w:iCs/>
          <w:sz w:val="20"/>
          <w:szCs w:val="20"/>
        </w:rPr>
        <w:t xml:space="preserve">T:</w:t>
      </w:r>
      <w:r>
        <w:rPr>
          <w:sz w:val="20"/>
          <w:szCs w:val="20"/>
        </w:rPr>
        <w:t xml:space="preserve"> get other teams onto the platform without a coordinated cutover. </w:t>
      </w:r>
      <w:r>
        <w:rPr>
          <w:i/>
          <w:iCs/>
          <w:sz w:val="20"/>
          <w:szCs w:val="20"/>
        </w:rPr>
        <w:t xml:space="preserve">A:</w:t>
      </w:r>
      <w:r>
        <w:rPr>
          <w:sz w:val="20"/>
          <w:szCs w:val="20"/>
        </w:rPr>
        <w:t xml:space="preserve"> reimplemented the legacy </w:t>
      </w:r>
      <w:r>
        <w:rPr>
          <w:rFonts w:ascii="Consolas" w:cs="Consolas" w:eastAsia="Consolas" w:hAnsi="Consolas"/>
          <w:sz w:val="18"/>
          <w:szCs w:val="18"/>
        </w:rPr>
        <w:t xml:space="preserve">iros-mail</w:t>
      </w:r>
      <w:r>
        <w:rPr>
          <w:sz w:val="20"/>
          <w:szCs w:val="20"/>
        </w:rPr>
        <w:t xml:space="preserve"> HTTP contract verbatim while discarding its internals, so callers repoint a URL. </w:t>
      </w:r>
      <w:r>
        <w:rPr>
          <w:i/>
          <w:iCs/>
          <w:sz w:val="20"/>
          <w:szCs w:val="20"/>
        </w:rPr>
        <w:t xml:space="preserve">R:</w:t>
      </w:r>
      <w:r>
        <w:rPr>
          <w:sz w:val="20"/>
          <w:szCs w:val="20"/>
        </w:rPr>
        <w:t xml:space="preserve"> 22 clients, 47 → 7,075 emails monthly. </w:t>
      </w:r>
      <w:r>
        <w:rPr>
          <w:i/>
          <w:iCs/>
          <w:sz w:val="20"/>
          <w:szCs w:val="20"/>
        </w:rPr>
        <w:t xml:space="preserve">T/O:</w:t>
      </w:r>
      <w:r>
        <w:rPr>
          <w:sz w:val="20"/>
          <w:szCs w:val="20"/>
        </w:rPr>
        <w:t xml:space="preserve"> legacy field shapes now sit in a new system's public contract — accepted knowingly. </w:t>
      </w:r>
      <w:r>
        <w:rPr>
          <w:i/>
          <w:iCs/>
          <w:sz w:val="20"/>
          <w:szCs w:val="20"/>
        </w:rPr>
        <w:t xml:space="preserve">E:</w:t>
      </w:r>
      <w:r>
        <w:rPr>
          <w:sz w:val="20"/>
          <w:szCs w:val="20"/>
        </w:rPr>
        <w:t xml:space="preserve"> compatibility doc; monthly counts. </w:t>
      </w:r>
      <w:r>
        <w:rPr>
          <w:i/>
          <w:iCs/>
          <w:sz w:val="20"/>
          <w:szCs w:val="20"/>
        </w:rPr>
        <w:t xml:space="preserve">(Strong because it shows adoption treated as an engineering problem, and an owned trade-off.)</w:t>
      </w:r>
    </w:p>
    <w:p>
      <w:pPr>
        <w:spacing w:after="140" w:before="60" w:line="276"/>
      </w:pPr>
      <w:r>
        <w:rPr>
          <w:b/>
          <w:bCs/>
          <w:sz w:val="20"/>
          <w:szCs w:val="20"/>
        </w:rPr>
        <w:t xml:space="preserve">Permission models are easy to get subtly wrong</w:t>
      </w:r>
      <w:r>
        <w:rPr>
          <w:sz w:val="20"/>
          <w:szCs w:val="20"/>
        </w:rPr>
        <w:t xml:space="preserve"> (§12). The reviewer could withdraw the submitter's own review request, because the check asked "are you an Admin?" rather than "are you the requesting side?".</w:t>
      </w:r>
    </w:p>
    <w:p>
      <w:pPr>
        <w:pStyle w:val="Heading1"/>
        <w:pBdr>
          <w:bottom w:val="single" w:color="BFBFBF" w:sz="6" w:space="6"/>
        </w:pBdr>
        <w:spacing w:after="160" w:before="360"/>
      </w:pPr>
      <w:r>
        <w:rPr>
          <w:b/>
          <w:bCs/>
          <w:color w:val="1F3864"/>
          <w:sz w:val="28"/>
          <w:szCs w:val="28"/>
        </w:rPr>
        <w:t xml:space="preserve">19. Technical Article and Blog Opportunities</w:t>
      </w:r>
    </w:p>
    <w:p>
      <w:pPr>
        <w:spacing w:after="140" w:before="60" w:line="276"/>
      </w:pPr>
      <w:r>
        <w:rPr>
          <w:b/>
          <w:bCs/>
          <w:sz w:val="20"/>
          <w:szCs w:val="20"/>
        </w:rPr>
        <w:t xml:space="preserve">"`new Date()` is not your friend: the bug that was only wrong for twelve days a month."</w:t>
      </w:r>
      <w:r>
        <w:rPr>
          <w:sz w:val="20"/>
          <w:szCs w:val="20"/>
        </w:rPr>
        <w:t xml:space="preserve"> Locale-ambiguous date parsing, why it evades type systems and tests, and designing the regression test around the failure mode. </w:t>
      </w:r>
      <w:r>
        <w:rPr>
          <w:i/>
          <w:iCs/>
          <w:sz w:val="20"/>
          <w:szCs w:val="20"/>
        </w:rPr>
        <w:t xml:space="preserve">Anonymise:</w:t>
      </w:r>
      <w:r>
        <w:rPr>
          <w:sz w:val="20"/>
          <w:szCs w:val="20"/>
        </w:rPr>
        <w:t xml:space="preserve"> broker identity, customer data, process names. </w:t>
      </w:r>
      <w:r>
        <w:rPr>
          <w:i/>
          <w:iCs/>
          <w:sz w:val="20"/>
          <w:szCs w:val="20"/>
        </w:rPr>
        <w:t xml:space="preserve">Do not publish:</w:t>
      </w:r>
      <w:r>
        <w:rPr>
          <w:sz w:val="20"/>
          <w:szCs w:val="20"/>
        </w:rPr>
        <w:t xml:space="preserve"> source queries, schema.</w:t>
      </w:r>
    </w:p>
    <w:p>
      <w:pPr>
        <w:spacing w:after="140" w:before="60" w:line="276"/>
      </w:pPr>
      <w:r>
        <w:rPr>
          <w:b/>
          <w:bCs/>
          <w:sz w:val="20"/>
          <w:szCs w:val="20"/>
        </w:rPr>
        <w:t xml:space="preserve">"Put your invariants in the database."</w:t>
      </w:r>
      <w:r>
        <w:rPr>
          <w:sz w:val="20"/>
          <w:szCs w:val="20"/>
        </w:rPr>
        <w:t xml:space="preserve"> Composite unique constraints as duplicate-prevention versus application-level checks; what happens when the constraint protecting you takes down your job; evidence that it works at scale. </w:t>
      </w:r>
      <w:r>
        <w:rPr>
          <w:i/>
          <w:iCs/>
          <w:sz w:val="20"/>
          <w:szCs w:val="20"/>
        </w:rPr>
        <w:t xml:space="preserve">Publish:</w:t>
      </w:r>
      <w:r>
        <w:rPr>
          <w:sz w:val="20"/>
          <w:szCs w:val="20"/>
        </w:rPr>
        <w:t xml:space="preserve"> the pattern. </w:t>
      </w:r>
      <w:r>
        <w:rPr>
          <w:i/>
          <w:iCs/>
          <w:sz w:val="20"/>
          <w:szCs w:val="20"/>
        </w:rPr>
        <w:t xml:space="preserve">Do not publish:</w:t>
      </w:r>
      <w:r>
        <w:rPr>
          <w:sz w:val="20"/>
          <w:szCs w:val="20"/>
        </w:rPr>
        <w:t xml:space="preserve"> real key composition or business identifiers.</w:t>
      </w:r>
    </w:p>
    <w:p>
      <w:pPr>
        <w:spacing w:after="140" w:before="60" w:line="276"/>
      </w:pPr>
      <w:r>
        <w:rPr>
          <w:b/>
          <w:bCs/>
          <w:sz w:val="20"/>
          <w:szCs w:val="20"/>
        </w:rPr>
        <w:t xml:space="preserve">"Snapshot everything: designing for reproducibility in regulated messaging."</w:t>
      </w:r>
      <w:r>
        <w:rPr>
          <w:sz w:val="20"/>
          <w:szCs w:val="20"/>
        </w:rPr>
        <w:t xml:space="preserve"> Control/execution plane split, immutable rendered content, the deliberate choice to keep platform state and provider evidence separate. </w:t>
      </w:r>
      <w:r>
        <w:rPr>
          <w:i/>
          <w:iCs/>
          <w:sz w:val="20"/>
          <w:szCs w:val="20"/>
        </w:rPr>
        <w:t xml:space="preserve">Anonymise:</w:t>
      </w:r>
      <w:r>
        <w:rPr>
          <w:sz w:val="20"/>
          <w:szCs w:val="20"/>
        </w:rPr>
        <w:t xml:space="preserve"> sector specifics. </w:t>
      </w:r>
      <w:r>
        <w:rPr>
          <w:i/>
          <w:iCs/>
          <w:sz w:val="20"/>
          <w:szCs w:val="20"/>
        </w:rPr>
        <w:t xml:space="preserve">Do not publish:</w:t>
      </w:r>
      <w:r>
        <w:rPr>
          <w:sz w:val="20"/>
          <w:szCs w:val="20"/>
        </w:rPr>
        <w:t xml:space="preserve"> audit action taxonomy.</w:t>
      </w:r>
    </w:p>
    <w:p>
      <w:pPr>
        <w:spacing w:after="140" w:before="60" w:line="276"/>
      </w:pPr>
      <w:r>
        <w:rPr>
          <w:b/>
          <w:bCs/>
          <w:sz w:val="20"/>
          <w:szCs w:val="20"/>
        </w:rPr>
        <w:t xml:space="preserve">"`//todo send email`: the comment that explains four years of lost messages."</w:t>
      </w:r>
      <w:r>
        <w:rPr>
          <w:sz w:val="20"/>
          <w:szCs w:val="20"/>
        </w:rPr>
        <w:t xml:space="preserve"> A real legacy failure handler that logged to console and notified nobody, and what silent failure costs in a regulated workflow — alerting, retry lineage, partial-failure states, and making "did this actually go out?" a question the system can answer. </w:t>
      </w:r>
      <w:r>
        <w:rPr>
          <w:i/>
          <w:iCs/>
          <w:sz w:val="20"/>
          <w:szCs w:val="20"/>
        </w:rPr>
        <w:t xml:space="preserve">Anonymise:</w:t>
      </w:r>
      <w:r>
        <w:rPr>
          <w:sz w:val="20"/>
          <w:szCs w:val="20"/>
        </w:rPr>
        <w:t xml:space="preserve"> broker, process names. </w:t>
      </w:r>
      <w:r>
        <w:rPr>
          <w:i/>
          <w:iCs/>
          <w:sz w:val="20"/>
          <w:szCs w:val="20"/>
        </w:rPr>
        <w:t xml:space="preserve">Do not publish:</w:t>
      </w:r>
      <w:r>
        <w:rPr>
          <w:sz w:val="20"/>
          <w:szCs w:val="20"/>
        </w:rPr>
        <w:t xml:space="preserve"> legacy source beyond the two short functions, which must be shown without business identifiers.</w:t>
      </w:r>
    </w:p>
    <w:p>
      <w:pPr>
        <w:spacing w:after="140" w:before="60" w:line="276"/>
      </w:pPr>
      <w:r>
        <w:rPr>
          <w:b/>
          <w:bCs/>
          <w:sz w:val="20"/>
          <w:szCs w:val="20"/>
        </w:rPr>
        <w:t xml:space="preserve">"Strangling two legacy systems at once."</w:t>
      </w:r>
      <w:r>
        <w:rPr>
          <w:sz w:val="20"/>
          <w:szCs w:val="20"/>
        </w:rPr>
        <w:t xml:space="preserve"> Replacing an orchestration layer and the microservice beneath it, and why preserving the old HTTP contract verbatim — field names, auth header and all — was the decision that actually drove adoption. The trade-off of importing legacy field shapes into a new public API. </w:t>
      </w:r>
      <w:r>
        <w:rPr>
          <w:i/>
          <w:iCs/>
          <w:sz w:val="20"/>
          <w:szCs w:val="20"/>
        </w:rPr>
        <w:t xml:space="preserve">Do not publish:</w:t>
      </w:r>
      <w:r>
        <w:rPr>
          <w:sz w:val="20"/>
          <w:szCs w:val="20"/>
        </w:rPr>
        <w:t xml:space="preserve"> the field list as it maps to internal systems, or client identities.</w:t>
      </w:r>
    </w:p>
    <w:p>
      <w:pPr>
        <w:spacing w:after="140" w:before="60" w:line="276"/>
      </w:pPr>
      <w:r>
        <w:rPr>
          <w:b/>
          <w:bCs/>
          <w:sz w:val="20"/>
          <w:szCs w:val="20"/>
        </w:rPr>
        <w:t xml:space="preserve">"Two logs, one event, two numbers: metric definition as a design problem."</w:t>
      </w:r>
      <w:r>
        <w:rPr>
          <w:sz w:val="20"/>
          <w:szCs w:val="20"/>
        </w:rPr>
        <w:t xml:space="preserve"> The 21,608 vs 256 discrepancy, generalised.</w:t>
      </w:r>
    </w:p>
    <w:p>
      <w:pPr>
        <w:spacing w:after="140" w:before="60" w:line="276"/>
      </w:pPr>
      <w:r>
        <w:rPr>
          <w:b/>
          <w:bCs/>
          <w:sz w:val="20"/>
          <w:szCs w:val="20"/>
        </w:rPr>
        <w:t xml:space="preserve">"Governing AI coding tools in a regulated codebase."</w:t>
      </w:r>
      <w:r>
        <w:rPr>
          <w:sz w:val="20"/>
          <w:szCs w:val="20"/>
        </w:rPr>
        <w:t xml:space="preserve"> What an agent-instruction file should contain — workspace boundaries, architectural direction, validation gates, where AI must never own logic — and evidence that scoping held. </w:t>
      </w:r>
      <w:r>
        <w:rPr>
          <w:i/>
          <w:iCs/>
          <w:sz w:val="20"/>
          <w:szCs w:val="20"/>
        </w:rPr>
        <w:t xml:space="preserve">Do not publish:</w:t>
      </w:r>
      <w:r>
        <w:rPr>
          <w:sz w:val="20"/>
          <w:szCs w:val="20"/>
        </w:rPr>
        <w:t xml:space="preserve"> the file verbatim.</w:t>
      </w:r>
    </w:p>
    <w:p>
      <w:pPr>
        <w:pStyle w:val="Heading1"/>
        <w:pBdr>
          <w:bottom w:val="single" w:color="BFBFBF" w:sz="6" w:space="6"/>
        </w:pBdr>
        <w:spacing w:after="160" w:before="360"/>
      </w:pPr>
      <w:r>
        <w:rPr>
          <w:b/>
          <w:bCs/>
          <w:color w:val="1F3864"/>
          <w:sz w:val="28"/>
          <w:szCs w:val="28"/>
        </w:rPr>
        <w:t xml:space="preserve">20. Professional Content Opportunities</w:t>
      </w:r>
    </w:p>
    <w:p>
      <w:pPr>
        <w:pStyle w:val="ListParagraph"/>
        <w:numPr>
          <w:ilvl w:val="0"/>
          <w:numId w:val="2"/>
        </w:numPr>
        <w:spacing w:after="40" w:before="40"/>
      </w:pPr>
      <w:r>
        <w:rPr>
          <w:b/>
          <w:bCs/>
          <w:sz w:val="20"/>
          <w:szCs w:val="20"/>
        </w:rPr>
        <w:t xml:space="preserve">Shipping reliability you can prove.</w:t>
      </w:r>
      <w:r>
        <w:rPr>
          <w:sz w:val="20"/>
          <w:szCs w:val="20"/>
        </w:rPr>
        <w:t xml:space="preserve"> 1,146 dispatches, 1,146 distinct slots, zero duplicates — the constraint that did its job silently. </w:t>
      </w:r>
      <w:r>
        <w:rPr>
          <w:i/>
          <w:iCs/>
          <w:sz w:val="20"/>
          <w:szCs w:val="20"/>
        </w:rPr>
        <w:t xml:space="preserve">Credible because it is a single verifiable query.</w:t>
      </w:r>
    </w:p>
    <w:p>
      <w:pPr>
        <w:pStyle w:val="ListParagraph"/>
        <w:numPr>
          <w:ilvl w:val="0"/>
          <w:numId w:val="2"/>
        </w:numPr>
        <w:spacing w:after="40" w:before="40"/>
      </w:pPr>
      <w:r>
        <w:rPr>
          <w:b/>
          <w:bCs/>
          <w:sz w:val="20"/>
          <w:szCs w:val="20"/>
        </w:rPr>
        <w:t xml:space="preserve">The bug that was only wrong half the month.</w:t>
      </w:r>
      <w:r>
        <w:rPr>
          <w:sz w:val="20"/>
          <w:szCs w:val="20"/>
        </w:rPr>
        <w:t xml:space="preserve"> Short, memorable, technically instructive. </w:t>
      </w:r>
      <w:r>
        <w:rPr>
          <w:i/>
          <w:iCs/>
          <w:sz w:val="20"/>
          <w:szCs w:val="20"/>
        </w:rPr>
        <w:t xml:space="preserve">Credible from the commit and its test.</w:t>
      </w:r>
    </w:p>
    <w:p>
      <w:pPr>
        <w:pStyle w:val="ListParagraph"/>
        <w:numPr>
          <w:ilvl w:val="0"/>
          <w:numId w:val="2"/>
        </w:numPr>
        <w:spacing w:after="40" w:before="40"/>
      </w:pPr>
      <w:r>
        <w:rPr>
          <w:b/>
          <w:bCs/>
          <w:sz w:val="20"/>
          <w:szCs w:val="20"/>
        </w:rPr>
        <w:t xml:space="preserve">Choosing the less impressive number.</w:t>
      </w:r>
      <w:r>
        <w:rPr>
          <w:sz w:val="20"/>
          <w:szCs w:val="20"/>
        </w:rPr>
        <w:t xml:space="preserve"> Why the reliability figure quoted is 99.83% and not something prettier. </w:t>
      </w:r>
      <w:r>
        <w:rPr>
          <w:i/>
          <w:iCs/>
          <w:sz w:val="20"/>
          <w:szCs w:val="20"/>
        </w:rPr>
        <w:t xml:space="preserve">Credible from §8.5.</w:t>
      </w:r>
    </w:p>
    <w:p>
      <w:pPr>
        <w:pStyle w:val="ListParagraph"/>
        <w:numPr>
          <w:ilvl w:val="0"/>
          <w:numId w:val="2"/>
        </w:numPr>
        <w:spacing w:after="40" w:before="40"/>
      </w:pPr>
      <w:r>
        <w:rPr>
          <w:b/>
          <w:bCs/>
          <w:sz w:val="20"/>
          <w:szCs w:val="20"/>
        </w:rPr>
        <w:t xml:space="preserve">Six months, one backend, 155 endpoints.</w:t>
      </w:r>
      <w:r>
        <w:rPr>
          <w:sz w:val="20"/>
          <w:szCs w:val="20"/>
        </w:rPr>
        <w:t xml:space="preserve"> A build-log retrospective on scoping a modular monolith solo. </w:t>
      </w:r>
      <w:r>
        <w:rPr>
          <w:i/>
          <w:iCs/>
          <w:sz w:val="20"/>
          <w:szCs w:val="20"/>
        </w:rPr>
        <w:t xml:space="preserve">Credible from Git history.</w:t>
      </w:r>
    </w:p>
    <w:p>
      <w:pPr>
        <w:pStyle w:val="ListParagraph"/>
        <w:numPr>
          <w:ilvl w:val="0"/>
          <w:numId w:val="2"/>
        </w:numPr>
        <w:spacing w:after="40" w:before="40"/>
      </w:pPr>
      <w:r>
        <w:rPr>
          <w:b/>
          <w:bCs/>
          <w:sz w:val="20"/>
          <w:szCs w:val="20"/>
        </w:rPr>
        <w:t xml:space="preserve">Honest AI-assisted engineering.</w:t>
      </w:r>
      <w:r>
        <w:rPr>
          <w:sz w:val="20"/>
          <w:szCs w:val="20"/>
        </w:rPr>
        <w:t xml:space="preserve"> What was scaffolded, what was directed, where the boundary was drawn, and why the record says so. </w:t>
      </w:r>
      <w:r>
        <w:rPr>
          <w:i/>
          <w:iCs/>
          <w:sz w:val="20"/>
          <w:szCs w:val="20"/>
        </w:rPr>
        <w:t xml:space="preserve">Credible from the authorship timeline — and distinctive, because most posts on this are not specific.</w:t>
      </w:r>
    </w:p>
    <w:p>
      <w:pPr>
        <w:pStyle w:val="ListParagraph"/>
        <w:numPr>
          <w:ilvl w:val="0"/>
          <w:numId w:val="2"/>
        </w:numPr>
        <w:spacing w:after="40" w:before="40"/>
      </w:pPr>
      <w:r>
        <w:rPr>
          <w:b/>
          <w:bCs/>
          <w:sz w:val="20"/>
          <w:szCs w:val="20"/>
        </w:rPr>
        <w:t xml:space="preserve">The 10,463-line file I would split.</w:t>
      </w:r>
      <w:r>
        <w:rPr>
          <w:sz w:val="20"/>
          <w:szCs w:val="20"/>
        </w:rPr>
        <w:t xml:space="preserve"> Owning a known architectural debt publicly. </w:t>
      </w:r>
      <w:r>
        <w:rPr>
          <w:i/>
          <w:iCs/>
          <w:sz w:val="20"/>
          <w:szCs w:val="20"/>
        </w:rPr>
        <w:t xml:space="preserve">Credible from the file itself.</w:t>
      </w:r>
    </w:p>
    <w:p>
      <w:pPr>
        <w:pStyle w:val="ListParagraph"/>
        <w:numPr>
          <w:ilvl w:val="0"/>
          <w:numId w:val="2"/>
        </w:numPr>
        <w:spacing w:after="40" w:before="40"/>
      </w:pPr>
      <w:r>
        <w:rPr>
          <w:b/>
          <w:bCs/>
          <w:sz w:val="20"/>
          <w:szCs w:val="20"/>
        </w:rPr>
        <w:t xml:space="preserve">"`//todo send email`."</w:t>
      </w:r>
      <w:r>
        <w:rPr>
          <w:sz w:val="20"/>
          <w:szCs w:val="20"/>
        </w:rPr>
        <w:t xml:space="preserve"> One screenshot of a real legacy failure handler that notified nobody, and what that costs. </w:t>
      </w:r>
      <w:r>
        <w:rPr>
          <w:i/>
          <w:iCs/>
          <w:sz w:val="20"/>
          <w:szCs w:val="20"/>
        </w:rPr>
        <w:t xml:space="preserve">Credible, memorable, and lands instantly with any engineer.</w:t>
      </w:r>
      <w:r>
        <w:rPr>
          <w:sz w:val="20"/>
          <w:szCs w:val="20"/>
        </w:rPr>
        <w:t xml:space="preserve"> </w:t>
      </w:r>
      <w:r>
        <w:rPr>
          <w:i/>
          <w:iCs/>
          <w:sz w:val="20"/>
          <w:szCs w:val="20"/>
        </w:rPr>
        <w:t xml:space="preserve">Must be anonymised.</w:t>
      </w:r>
    </w:p>
    <w:p>
      <w:pPr>
        <w:pStyle w:val="ListParagraph"/>
        <w:numPr>
          <w:ilvl w:val="0"/>
          <w:numId w:val="2"/>
        </w:numPr>
        <w:spacing w:after="40" w:before="40"/>
      </w:pPr>
      <w:r>
        <w:rPr>
          <w:b/>
          <w:bCs/>
          <w:sz w:val="20"/>
          <w:szCs w:val="20"/>
        </w:rPr>
        <w:t xml:space="preserve">Adoption is an engineering problem.</w:t>
      </w:r>
      <w:r>
        <w:rPr>
          <w:sz w:val="20"/>
          <w:szCs w:val="20"/>
        </w:rPr>
        <w:t xml:space="preserve"> Why keeping the old API contract verbatim did more for consolidation than any feature. </w:t>
      </w:r>
      <w:r>
        <w:rPr>
          <w:i/>
          <w:iCs/>
          <w:sz w:val="20"/>
          <w:szCs w:val="20"/>
        </w:rPr>
        <w:t xml:space="preserve">Credible from 22 migrated clients and the growth curve.</w:t>
      </w:r>
    </w:p>
    <w:p>
      <w:pPr>
        <w:pStyle w:val="ListParagraph"/>
        <w:numPr>
          <w:ilvl w:val="0"/>
          <w:numId w:val="2"/>
        </w:numPr>
        <w:spacing w:after="40" w:before="40"/>
      </w:pPr>
      <w:r>
        <w:rPr>
          <w:b/>
          <w:bCs/>
          <w:sz w:val="20"/>
          <w:szCs w:val="20"/>
        </w:rPr>
        <w:t xml:space="preserve">What to do when there's no baseline.</w:t>
      </w:r>
      <w:r>
        <w:rPr>
          <w:sz w:val="20"/>
          <w:szCs w:val="20"/>
        </w:rPr>
        <w:t xml:space="preserve"> Replacing a system that measured nothing, and arguing capability delta instead of percentages. </w:t>
      </w:r>
      <w:r>
        <w:rPr>
          <w:i/>
          <w:iCs/>
          <w:sz w:val="20"/>
          <w:szCs w:val="20"/>
        </w:rPr>
        <w:t xml:space="preserve">Credible, unusual, and quietly demonstrates integrity about metrics.</w:t>
      </w:r>
    </w:p>
    <w:p>
      <w:pPr>
        <w:pStyle w:val="Heading1"/>
        <w:pBdr>
          <w:bottom w:val="single" w:color="BFBFBF" w:sz="6" w:space="6"/>
        </w:pBdr>
        <w:spacing w:after="160" w:before="360"/>
      </w:pPr>
      <w:r>
        <w:rPr>
          <w:b/>
          <w:bCs/>
          <w:color w:val="1F3864"/>
          <w:sz w:val="28"/>
          <w:szCs w:val="28"/>
        </w:rPr>
        <w:t xml:space="preserve">21. Private vs Public-Safe Information</w:t>
      </w:r>
    </w:p>
    <w:p>
      <w:pPr>
        <w:spacing w:after="140" w:before="60" w:line="276"/>
      </w:pPr>
      <w:r>
        <w:rPr>
          <w:b/>
          <w:bCs/>
          <w:sz w:val="20"/>
          <w:szCs w:val="20"/>
        </w:rPr>
        <w:t xml:space="preserve">PRIVATE — do not publish.</w:t>
      </w:r>
      <w:r>
        <w:rPr>
          <w:sz w:val="20"/>
          <w:szCs w:val="20"/>
        </w:rPr>
        <w:t xml:space="preserve"> Client/broker identity and domain; </w:t>
      </w:r>
      <w:r>
        <w:rPr>
          <w:rFonts w:ascii="Consolas" w:cs="Consolas" w:eastAsia="Consolas" w:hAnsi="Consolas"/>
          <w:sz w:val="18"/>
          <w:szCs w:val="18"/>
        </w:rPr>
        <w:t xml:space="preserve">.env</w:t>
      </w:r>
      <w:r>
        <w:rPr>
          <w:sz w:val="20"/>
          <w:szCs w:val="20"/>
        </w:rPr>
        <w:t xml:space="preserve"> contents and every credential; connection strings; API keys and webhook secrets; database host names; preset flow keys and legacy process names (</w:t>
      </w:r>
      <w:r>
        <w:rPr>
          <w:rFonts w:ascii="Consolas" w:cs="Consolas" w:eastAsia="Consolas" w:hAnsi="Consolas"/>
          <w:sz w:val="18"/>
          <w:szCs w:val="18"/>
        </w:rPr>
        <w:t xml:space="preserve">os_payments_new</w:t>
      </w:r>
      <w:r>
        <w:rPr>
          <w:sz w:val="20"/>
          <w:szCs w:val="20"/>
        </w:rPr>
        <w:t xml:space="preserve">, </w:t>
      </w:r>
      <w:r>
        <w:rPr>
          <w:rFonts w:ascii="Consolas" w:cs="Consolas" w:eastAsia="Consolas" w:hAnsi="Consolas"/>
          <w:sz w:val="18"/>
          <w:szCs w:val="18"/>
        </w:rPr>
        <w:t xml:space="preserve">rta7_*</w:t>
      </w:r>
      <w:r>
        <w:rPr>
          <w:sz w:val="20"/>
          <w:szCs w:val="20"/>
        </w:rPr>
        <w:t xml:space="preserve">, </w:t>
      </w:r>
      <w:r>
        <w:rPr>
          <w:rFonts w:ascii="Consolas" w:cs="Consolas" w:eastAsia="Consolas" w:hAnsi="Consolas"/>
          <w:sz w:val="18"/>
          <w:szCs w:val="18"/>
        </w:rPr>
        <w:t xml:space="preserve">dreq_*</w:t>
      </w:r>
      <w:r>
        <w:rPr>
          <w:sz w:val="20"/>
          <w:szCs w:val="20"/>
        </w:rPr>
        <w:t xml:space="preserve">); legacy table names (</w:t>
      </w:r>
      <w:r>
        <w:rPr>
          <w:rFonts w:ascii="Consolas" w:cs="Consolas" w:eastAsia="Consolas" w:hAnsi="Consolas"/>
          <w:sz w:val="18"/>
          <w:szCs w:val="18"/>
        </w:rPr>
        <w:t xml:space="preserve">wp_*</w:t>
      </w:r>
      <w:r>
        <w:rPr>
          <w:sz w:val="20"/>
          <w:szCs w:val="20"/>
        </w:rPr>
        <w:t xml:space="preserve">); SQL source queries; internal user names, counts and roles; customer data of any kind; per-client API traffic attribution; identities of the 22 integrating systems; Azure resource names; the audit action taxonomy; precise schema details; the legacy API field list as it maps to internal callers; </w:t>
      </w:r>
      <w:r>
        <w:rPr>
          <w:rFonts w:ascii="Consolas" w:cs="Consolas" w:eastAsia="Consolas" w:hAnsi="Consolas"/>
          <w:sz w:val="18"/>
          <w:szCs w:val="18"/>
        </w:rPr>
        <w:t xml:space="preserve">AGENTS.md</w:t>
      </w:r>
      <w:r>
        <w:rPr>
          <w:sz w:val="20"/>
          <w:szCs w:val="20"/>
        </w:rPr>
        <w:t xml:space="preserve"> verbatim.</w:t>
      </w:r>
    </w:p>
    <w:p>
      <w:pPr>
        <w:spacing w:after="140" w:before="60" w:line="276"/>
      </w:pPr>
      <w:r>
        <w:rPr>
          <w:b/>
          <w:bCs/>
          <w:sz w:val="20"/>
          <w:szCs w:val="20"/>
        </w:rPr>
        <w:t xml:space="preserve">Named individuals.</w:t>
      </w:r>
      <w:r>
        <w:rPr>
          <w:sz w:val="20"/>
          <w:szCs w:val="20"/>
        </w:rPr>
        <w:t xml:space="preserve"> Do not publish the CEO/CTO commendation in a way that identifies them or the company. In interview it is fine as "I'm told the CEO and CTO were pleased with it"; in writing, only once a dated source exists and only in a private CV or application, never publicly attributed.</w:t>
      </w:r>
    </w:p>
    <w:p>
      <w:pPr>
        <w:spacing w:after="140" w:before="60" w:line="276"/>
      </w:pPr>
      <w:r>
        <w:rPr>
          <w:b/>
          <w:bCs/>
          <w:sz w:val="20"/>
          <w:szCs w:val="20"/>
        </w:rPr>
        <w:t xml:space="preserve">PUBLIC-SAFE — with the sector described generically.</w:t>
      </w:r>
      <w:r>
        <w:rPr>
          <w:sz w:val="20"/>
          <w:szCs w:val="20"/>
        </w:rPr>
        <w:t xml:space="preserve"> Aggregate volume, reliability and automation percentages in §8 (they contain no identifying detail); the architectural patterns in §5, §10 and §11; the technology stack; the engineering problems and their solutions in §12 stated as patterns; the lessons in §14; CV bullets in §16 provided the client is unnamed.</w:t>
      </w:r>
    </w:p>
    <w:p>
      <w:pPr>
        <w:spacing w:after="140" w:before="60" w:line="276"/>
      </w:pPr>
      <w:r>
        <w:rPr>
          <w:i/>
          <w:iCs/>
          <w:sz w:val="20"/>
          <w:szCs w:val="20"/>
        </w:rPr>
        <w:t xml:space="preserve">Judgement applied: where unsure, classified private. In particular, per-client traffic distribution and the flow-key names were moved to private despite being technically aggregate, because they could identify internal systems and business processes.</w:t>
      </w:r>
    </w:p>
    <w:p>
      <w:pPr>
        <w:pStyle w:val="Heading1"/>
        <w:pBdr>
          <w:bottom w:val="single" w:color="BFBFBF" w:sz="6" w:space="6"/>
        </w:pBdr>
        <w:spacing w:after="160" w:before="360"/>
      </w:pPr>
      <w:r>
        <w:rPr>
          <w:b/>
          <w:bCs/>
          <w:color w:val="1F3864"/>
          <w:sz w:val="28"/>
          <w:szCs w:val="28"/>
        </w:rPr>
        <w:t xml:space="preserve">22. Evidence Gaps and Further Metrics Worth Collecting</w:t>
      </w:r>
    </w:p>
    <w:p>
      <w:pPr>
        <w:spacing w:after="140" w:before="60" w:line="276"/>
      </w:pPr>
      <w:r>
        <w:rPr>
          <w:b/>
          <w:bCs/>
          <w:sz w:val="20"/>
          <w:szCs w:val="20"/>
        </w:rPr>
        <w:t xml:space="preserve">Resolved since the first draft.</w:t>
      </w:r>
      <w:r>
        <w:rPr>
          <w:sz w:val="20"/>
          <w:szCs w:val="20"/>
        </w:rPr>
        <w:t xml:space="preserve"> Two gaps are now closed: the </w:t>
      </w:r>
      <w:r>
        <w:rPr>
          <w:i/>
          <w:iCs/>
          <w:sz w:val="20"/>
          <w:szCs w:val="20"/>
        </w:rPr>
        <w:t xml:space="preserve">origin and stakeholder requirements</w:t>
      </w:r>
      <w:r>
        <w:rPr>
          <w:sz w:val="20"/>
          <w:szCs w:val="20"/>
        </w:rPr>
        <w:t xml:space="preserve"> (§3, from subject testimony, substantially corroborated in legacy code) and </w:t>
      </w:r>
      <w:r>
        <w:rPr>
          <w:i/>
          <w:iCs/>
          <w:sz w:val="20"/>
          <w:szCs w:val="20"/>
        </w:rPr>
        <w:t xml:space="preserve">legacy cutover status</w:t>
      </w:r>
      <w:r>
        <w:rPr>
          <w:sz w:val="20"/>
          <w:szCs w:val="20"/>
        </w:rPr>
        <w:t xml:space="preserve"> (§6 — 11 flows migrated, 8 discovery-only items whose source is absent).</w:t>
      </w:r>
    </w:p>
    <w:p>
      <w:pPr>
        <w:spacing w:after="140" w:before="60" w:line="276"/>
      </w:pPr>
      <w:r>
        <w:rPr>
          <w:b/>
          <w:bCs/>
          <w:sz w:val="20"/>
          <w:szCs w:val="20"/>
        </w:rPr>
        <w:t xml:space="preserve">Reclassified: the legacy baseline is structurally unobtainable, not merely unlocated.</w:t>
      </w:r>
      <w:r>
        <w:rPr>
          <w:sz w:val="20"/>
          <w:szCs w:val="20"/>
        </w:rPr>
        <w:t xml:space="preserve"> The first draft suggested asking colleagues for before/after numbers. Investigation of the legacy source shows why that will not work: the Apps Scripts logged failures only to a console via an unimplemented notifier, and kept no send-level record — only per-process "row picked up" markers. </w:t>
      </w:r>
      <w:r>
        <w:rPr>
          <w:rFonts w:ascii="Consolas" w:cs="Consolas" w:eastAsia="Consolas" w:hAnsi="Consolas"/>
          <w:sz w:val="18"/>
          <w:szCs w:val="18"/>
        </w:rPr>
        <w:t xml:space="preserve">iros-mail</w:t>
      </w:r>
      <w:r>
        <w:rPr>
          <w:sz w:val="20"/>
          <w:szCs w:val="20"/>
        </w:rPr>
        <w:t xml:space="preserve"> held its own email records, but those cover one service's sends, not the estate. </w:t>
      </w:r>
      <w:r>
        <w:rPr>
          <w:b/>
          <w:bCs/>
          <w:sz w:val="20"/>
          <w:szCs w:val="20"/>
        </w:rPr>
        <w:t xml:space="preserve">There is no artefact from which legacy volume, failure rate, or missed-customer counts could be reconstructed.</w:t>
      </w:r>
      <w:r>
        <w:rPr>
          <w:sz w:val="20"/>
          <w:szCs w:val="20"/>
        </w:rPr>
        <w:t xml:space="preserve"> Treat §3.2's qualitative, code-corroborated before/after as the ceiling of what is claimable here, and stop looking for the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DF0F7" w:color="auto" w:val="clear"/>
            <w:tcMar>
              <w:top w:type="dxa" w:w="60"/>
              <w:left w:type="dxa" w:w="100"/>
              <w:bottom w:type="dxa" w:w="60"/>
              <w:right w:type="dxa" w:w="100"/>
            </w:tcMar>
          </w:tcPr>
          <w:p>
            <w:pPr>
              <w:spacing w:after="0" w:before="0"/>
            </w:pPr>
            <w:r>
              <w:rPr>
                <w:b/>
                <w:bCs/>
                <w:sz w:val="18"/>
                <w:szCs w:val="18"/>
              </w:rPr>
              <w:t xml:space="preserve">Gap</w:t>
            </w:r>
          </w:p>
        </w:tc>
        <w:tc>
          <w:tcPr>
            <w:tcW w:type="dxa" w:w="2256"/>
            <w:shd w:fill="EDF0F7" w:color="auto" w:val="clear"/>
            <w:tcMar>
              <w:top w:type="dxa" w:w="60"/>
              <w:left w:type="dxa" w:w="100"/>
              <w:bottom w:type="dxa" w:w="60"/>
              <w:right w:type="dxa" w:w="100"/>
            </w:tcMar>
          </w:tcPr>
          <w:p>
            <w:pPr>
              <w:spacing w:after="0" w:before="0"/>
            </w:pPr>
            <w:r>
              <w:rPr>
                <w:b/>
                <w:bCs/>
                <w:sz w:val="18"/>
                <w:szCs w:val="18"/>
              </w:rPr>
              <w:t xml:space="preserve">Why it matters</w:t>
            </w:r>
          </w:p>
        </w:tc>
        <w:tc>
          <w:tcPr>
            <w:tcW w:type="dxa" w:w="2256"/>
            <w:shd w:fill="EDF0F7" w:color="auto" w:val="clear"/>
            <w:tcMar>
              <w:top w:type="dxa" w:w="60"/>
              <w:left w:type="dxa" w:w="100"/>
              <w:bottom w:type="dxa" w:w="60"/>
              <w:right w:type="dxa" w:w="100"/>
            </w:tcMar>
          </w:tcPr>
          <w:p>
            <w:pPr>
              <w:spacing w:after="0" w:before="0"/>
            </w:pPr>
            <w:r>
              <w:rPr>
                <w:b/>
                <w:bCs/>
                <w:sz w:val="18"/>
                <w:szCs w:val="18"/>
              </w:rPr>
              <w:t xml:space="preserve">Where it might exist</w:t>
            </w:r>
          </w:p>
        </w:tc>
        <w:tc>
          <w:tcPr>
            <w:tcW w:type="dxa" w:w="2256"/>
            <w:shd w:fill="EDF0F7" w:color="auto" w:val="clear"/>
            <w:tcMar>
              <w:top w:type="dxa" w:w="60"/>
              <w:left w:type="dxa" w:w="100"/>
              <w:bottom w:type="dxa" w:w="60"/>
              <w:right w:type="dxa" w:w="100"/>
            </w:tcMar>
          </w:tcPr>
          <w:p>
            <w:pPr>
              <w:spacing w:after="0" w:before="0"/>
            </w:pPr>
            <w:r>
              <w:rPr>
                <w:b/>
                <w:bCs/>
                <w:sz w:val="18"/>
                <w:szCs w:val="18"/>
              </w:rPr>
              <w:t xml:space="preserve">Question to ask</w:t>
            </w:r>
          </w:p>
        </w:tc>
      </w:tr>
      <w:tr>
        <w:tc>
          <w:tcPr>
            <w:tcW w:type="dxa" w:w="2258"/>
            <w:tcMar>
              <w:top w:type="dxa" w:w="60"/>
              <w:left w:type="dxa" w:w="100"/>
              <w:bottom w:type="dxa" w:w="60"/>
              <w:right w:type="dxa" w:w="100"/>
            </w:tcMar>
          </w:tcPr>
          <w:p>
            <w:pPr>
              <w:spacing w:after="0" w:before="0"/>
            </w:pPr>
            <w:r>
              <w:rPr>
                <w:sz w:val="18"/>
                <w:szCs w:val="18"/>
              </w:rPr>
              <w:t xml:space="preserve">Written record of CEO/CTO commendation</w:t>
            </w:r>
          </w:p>
        </w:tc>
        <w:tc>
          <w:tcPr>
            <w:tcW w:type="dxa" w:w="2256"/>
            <w:tcMar>
              <w:top w:type="dxa" w:w="60"/>
              <w:left w:type="dxa" w:w="100"/>
              <w:bottom w:type="dxa" w:w="60"/>
              <w:right w:type="dxa" w:w="100"/>
            </w:tcMar>
          </w:tcPr>
          <w:p>
            <w:pPr>
              <w:spacing w:after="0" w:before="0"/>
            </w:pPr>
            <w:r>
              <w:rPr>
                <w:sz w:val="18"/>
                <w:szCs w:val="18"/>
              </w:rPr>
              <w:t xml:space="preserve">Converts the strongest stakeholder-impact evidence from testimony into something citable</w:t>
            </w:r>
          </w:p>
        </w:tc>
        <w:tc>
          <w:tcPr>
            <w:tcW w:type="dxa" w:w="2256"/>
            <w:tcMar>
              <w:top w:type="dxa" w:w="60"/>
              <w:left w:type="dxa" w:w="100"/>
              <w:bottom w:type="dxa" w:w="60"/>
              <w:right w:type="dxa" w:w="100"/>
            </w:tcMar>
          </w:tcPr>
          <w:p>
            <w:pPr>
              <w:spacing w:after="0" w:before="0"/>
            </w:pPr>
            <w:r>
              <w:rPr>
                <w:sz w:val="18"/>
                <w:szCs w:val="18"/>
              </w:rPr>
              <w:t xml:space="preserve">Email, Slack, performance review, board or project update deck</w:t>
            </w:r>
          </w:p>
        </w:tc>
        <w:tc>
          <w:tcPr>
            <w:tcW w:type="dxa" w:w="2256"/>
            <w:tcMar>
              <w:top w:type="dxa" w:w="60"/>
              <w:left w:type="dxa" w:w="100"/>
              <w:bottom w:type="dxa" w:w="60"/>
              <w:right w:type="dxa" w:w="100"/>
            </w:tcMar>
          </w:tcPr>
          <w:p>
            <w:pPr>
              <w:spacing w:after="0" w:before="0"/>
            </w:pPr>
            <w:r>
              <w:rPr>
                <w:sz w:val="18"/>
                <w:szCs w:val="18"/>
              </w:rPr>
              <w:t xml:space="preserve">"Could you put that in writing?" — or save the original message with its date</w:t>
            </w:r>
          </w:p>
        </w:tc>
      </w:tr>
      <w:tr>
        <w:tc>
          <w:tcPr>
            <w:tcW w:type="dxa" w:w="2258"/>
            <w:tcMar>
              <w:top w:type="dxa" w:w="60"/>
              <w:left w:type="dxa" w:w="100"/>
              <w:bottom w:type="dxa" w:w="60"/>
              <w:right w:type="dxa" w:w="100"/>
            </w:tcMar>
          </w:tcPr>
          <w:p>
            <w:pPr>
              <w:spacing w:after="0" w:before="0"/>
            </w:pPr>
            <w:r>
              <w:rPr>
                <w:rFonts w:ascii="Consolas" w:cs="Consolas" w:eastAsia="Consolas" w:hAnsi="Consolas"/>
                <w:sz w:val="18"/>
                <w:szCs w:val="18"/>
              </w:rPr>
              <w:t xml:space="preserve">iros-mail</w:t>
            </w:r>
            <w:r>
              <w:rPr>
                <w:sz w:val="18"/>
                <w:szCs w:val="18"/>
              </w:rPr>
              <w:t xml:space="preserve"> historical email volume</w:t>
            </w:r>
          </w:p>
        </w:tc>
        <w:tc>
          <w:tcPr>
            <w:tcW w:type="dxa" w:w="2256"/>
            <w:tcMar>
              <w:top w:type="dxa" w:w="60"/>
              <w:left w:type="dxa" w:w="100"/>
              <w:bottom w:type="dxa" w:w="60"/>
              <w:right w:type="dxa" w:w="100"/>
            </w:tcMar>
          </w:tcPr>
          <w:p>
            <w:pPr>
              <w:spacing w:after="0" w:before="0"/>
            </w:pPr>
            <w:r>
              <w:rPr>
                <w:sz w:val="18"/>
                <w:szCs w:val="18"/>
              </w:rPr>
              <w:t xml:space="preserve">The one legacy figure that </w:t>
            </w:r>
            <w:r>
              <w:rPr>
                <w:i/>
                <w:iCs/>
                <w:sz w:val="18"/>
                <w:szCs w:val="18"/>
              </w:rPr>
              <w:t xml:space="preserve">might</w:t>
            </w:r>
            <w:r>
              <w:rPr>
                <w:sz w:val="18"/>
                <w:szCs w:val="18"/>
              </w:rPr>
              <w:t xml:space="preserve"> still exist, since that service did persist records</w:t>
            </w:r>
          </w:p>
        </w:tc>
        <w:tc>
          <w:tcPr>
            <w:tcW w:type="dxa" w:w="2256"/>
            <w:tcMar>
              <w:top w:type="dxa" w:w="60"/>
              <w:left w:type="dxa" w:w="100"/>
              <w:bottom w:type="dxa" w:w="60"/>
              <w:right w:type="dxa" w:w="100"/>
            </w:tcMar>
          </w:tcPr>
          <w:p>
            <w:pPr>
              <w:spacing w:after="0" w:before="0"/>
            </w:pPr>
            <w:r>
              <w:rPr>
                <w:sz w:val="18"/>
                <w:szCs w:val="18"/>
              </w:rPr>
              <w:t xml:space="preserve">MongoDB store behind the legacy service, if still live</w:t>
            </w:r>
          </w:p>
        </w:tc>
        <w:tc>
          <w:tcPr>
            <w:tcW w:type="dxa" w:w="2256"/>
            <w:tcMar>
              <w:top w:type="dxa" w:w="60"/>
              <w:left w:type="dxa" w:w="100"/>
              <w:bottom w:type="dxa" w:w="60"/>
              <w:right w:type="dxa" w:w="100"/>
            </w:tcMar>
          </w:tcPr>
          <w:p>
            <w:pPr>
              <w:spacing w:after="0" w:before="0"/>
            </w:pPr>
            <w:r>
              <w:rPr>
                <w:sz w:val="18"/>
                <w:szCs w:val="18"/>
              </w:rPr>
              <w:t xml:space="preserve">"Is the old iros-mail database still available to query?"</w:t>
            </w:r>
          </w:p>
        </w:tc>
      </w:tr>
      <w:tr>
        <w:tc>
          <w:tcPr>
            <w:tcW w:type="dxa" w:w="2258"/>
            <w:tcMar>
              <w:top w:type="dxa" w:w="60"/>
              <w:left w:type="dxa" w:w="100"/>
              <w:bottom w:type="dxa" w:w="60"/>
              <w:right w:type="dxa" w:w="100"/>
            </w:tcMar>
          </w:tcPr>
          <w:p>
            <w:pPr>
              <w:spacing w:after="0" w:before="0"/>
            </w:pPr>
            <w:r>
              <w:rPr>
                <w:sz w:val="18"/>
                <w:szCs w:val="18"/>
              </w:rPr>
              <w:t xml:space="preserve">Unique customers contacted</w:t>
            </w:r>
          </w:p>
        </w:tc>
        <w:tc>
          <w:tcPr>
            <w:tcW w:type="dxa" w:w="2256"/>
            <w:tcMar>
              <w:top w:type="dxa" w:w="60"/>
              <w:left w:type="dxa" w:w="100"/>
              <w:bottom w:type="dxa" w:w="60"/>
              <w:right w:type="dxa" w:w="100"/>
            </w:tcMar>
          </w:tcPr>
          <w:p>
            <w:pPr>
              <w:spacing w:after="0" w:before="0"/>
            </w:pPr>
            <w:r>
              <w:rPr>
                <w:sz w:val="18"/>
                <w:szCs w:val="18"/>
              </w:rPr>
              <w:t xml:space="preserve">Distinguishes reach from message count</w:t>
            </w:r>
          </w:p>
        </w:tc>
        <w:tc>
          <w:tcPr>
            <w:tcW w:type="dxa" w:w="2256"/>
            <w:tcMar>
              <w:top w:type="dxa" w:w="60"/>
              <w:left w:type="dxa" w:w="100"/>
              <w:bottom w:type="dxa" w:w="60"/>
              <w:right w:type="dxa" w:w="100"/>
            </w:tcMar>
          </w:tcPr>
          <w:p>
            <w:pPr>
              <w:spacing w:after="0" w:before="0"/>
            </w:pPr>
            <w:r>
              <w:rPr>
                <w:sz w:val="18"/>
                <w:szCs w:val="18"/>
              </w:rPr>
              <w:t xml:space="preserve">Derivable in-database, deliberately not computed (personal data)</w:t>
            </w:r>
          </w:p>
        </w:tc>
        <w:tc>
          <w:tcPr>
            <w:tcW w:type="dxa" w:w="2256"/>
            <w:tcMar>
              <w:top w:type="dxa" w:w="60"/>
              <w:left w:type="dxa" w:w="100"/>
              <w:bottom w:type="dxa" w:w="60"/>
              <w:right w:type="dxa" w:w="100"/>
            </w:tcMar>
          </w:tcPr>
          <w:p>
            <w:pPr>
              <w:spacing w:after="0" w:before="0"/>
            </w:pPr>
            <w:r>
              <w:rPr>
                <w:sz w:val="18"/>
                <w:szCs w:val="18"/>
              </w:rPr>
              <w:t xml:space="preserve">Request a privacy-cleared aggregate</w:t>
            </w:r>
          </w:p>
        </w:tc>
      </w:tr>
      <w:tr>
        <w:tc>
          <w:tcPr>
            <w:tcW w:type="dxa" w:w="2258"/>
            <w:tcMar>
              <w:top w:type="dxa" w:w="60"/>
              <w:left w:type="dxa" w:w="100"/>
              <w:bottom w:type="dxa" w:w="60"/>
              <w:right w:type="dxa" w:w="100"/>
            </w:tcMar>
          </w:tcPr>
          <w:p>
            <w:pPr>
              <w:spacing w:after="0" w:before="0"/>
            </w:pPr>
            <w:r>
              <w:rPr>
                <w:sz w:val="18"/>
                <w:szCs w:val="18"/>
              </w:rPr>
              <w:t xml:space="preserve">Uptime / availability</w:t>
            </w:r>
          </w:p>
        </w:tc>
        <w:tc>
          <w:tcPr>
            <w:tcW w:type="dxa" w:w="2256"/>
            <w:tcMar>
              <w:top w:type="dxa" w:w="60"/>
              <w:left w:type="dxa" w:w="100"/>
              <w:bottom w:type="dxa" w:w="60"/>
              <w:right w:type="dxa" w:w="100"/>
            </w:tcMar>
          </w:tcPr>
          <w:p>
            <w:pPr>
              <w:spacing w:after="0" w:before="0"/>
            </w:pPr>
            <w:r>
              <w:rPr>
                <w:sz w:val="18"/>
                <w:szCs w:val="18"/>
              </w:rPr>
              <w:t xml:space="preserve">Standard reliability claim; none available</w:t>
            </w:r>
          </w:p>
        </w:tc>
        <w:tc>
          <w:tcPr>
            <w:tcW w:type="dxa" w:w="2256"/>
            <w:tcMar>
              <w:top w:type="dxa" w:w="60"/>
              <w:left w:type="dxa" w:w="100"/>
              <w:bottom w:type="dxa" w:w="60"/>
              <w:right w:type="dxa" w:w="100"/>
            </w:tcMar>
          </w:tcPr>
          <w:p>
            <w:pPr>
              <w:spacing w:after="0" w:before="0"/>
            </w:pPr>
            <w:r>
              <w:rPr>
                <w:sz w:val="18"/>
                <w:szCs w:val="18"/>
              </w:rPr>
              <w:t xml:space="preserve">Azure Web App metrics; App Insights</w:t>
            </w:r>
          </w:p>
        </w:tc>
        <w:tc>
          <w:tcPr>
            <w:tcW w:type="dxa" w:w="2256"/>
            <w:tcMar>
              <w:top w:type="dxa" w:w="60"/>
              <w:left w:type="dxa" w:w="100"/>
              <w:bottom w:type="dxa" w:w="60"/>
              <w:right w:type="dxa" w:w="100"/>
            </w:tcMar>
          </w:tcPr>
          <w:p>
            <w:pPr>
              <w:spacing w:after="0" w:before="0"/>
            </w:pPr>
            <w:r>
              <w:rPr>
                <w:sz w:val="18"/>
                <w:szCs w:val="18"/>
              </w:rPr>
              <w:t xml:space="preserve">"Is availability monitored, and what does it show?"</w:t>
            </w:r>
          </w:p>
        </w:tc>
      </w:tr>
      <w:tr>
        <w:tc>
          <w:tcPr>
            <w:tcW w:type="dxa" w:w="2258"/>
            <w:tcMar>
              <w:top w:type="dxa" w:w="60"/>
              <w:left w:type="dxa" w:w="100"/>
              <w:bottom w:type="dxa" w:w="60"/>
              <w:right w:type="dxa" w:w="100"/>
            </w:tcMar>
          </w:tcPr>
          <w:p>
            <w:pPr>
              <w:spacing w:after="0" w:before="0"/>
            </w:pPr>
            <w:r>
              <w:rPr>
                <w:sz w:val="18"/>
                <w:szCs w:val="18"/>
              </w:rPr>
              <w:t xml:space="preserve">Production launch date (first real send)</w:t>
            </w:r>
          </w:p>
        </w:tc>
        <w:tc>
          <w:tcPr>
            <w:tcW w:type="dxa" w:w="2256"/>
            <w:tcMar>
              <w:top w:type="dxa" w:w="60"/>
              <w:left w:type="dxa" w:w="100"/>
              <w:bottom w:type="dxa" w:w="60"/>
              <w:right w:type="dxa" w:w="100"/>
            </w:tcMar>
          </w:tcPr>
          <w:p>
            <w:pPr>
              <w:spacing w:after="0" w:before="0"/>
            </w:pPr>
            <w:r>
              <w:rPr>
                <w:sz w:val="18"/>
                <w:szCs w:val="18"/>
              </w:rPr>
              <w:t xml:space="preserve">First campaign send is 26 Jun 2026, but cutover may have been staged</w:t>
            </w:r>
          </w:p>
        </w:tc>
        <w:tc>
          <w:tcPr>
            <w:tcW w:type="dxa" w:w="2256"/>
            <w:tcMar>
              <w:top w:type="dxa" w:w="60"/>
              <w:left w:type="dxa" w:w="100"/>
              <w:bottom w:type="dxa" w:w="60"/>
              <w:right w:type="dxa" w:w="100"/>
            </w:tcMar>
          </w:tcPr>
          <w:p>
            <w:pPr>
              <w:spacing w:after="0" w:before="0"/>
            </w:pPr>
            <w:r>
              <w:rPr>
                <w:sz w:val="18"/>
                <w:szCs w:val="18"/>
              </w:rPr>
              <w:t xml:space="preserve">Release notes; cutover plan; stakeholder memory</w:t>
            </w:r>
          </w:p>
        </w:tc>
        <w:tc>
          <w:tcPr>
            <w:tcW w:type="dxa" w:w="2256"/>
            <w:tcMar>
              <w:top w:type="dxa" w:w="60"/>
              <w:left w:type="dxa" w:w="100"/>
              <w:bottom w:type="dxa" w:w="60"/>
              <w:right w:type="dxa" w:w="100"/>
            </w:tcMar>
          </w:tcPr>
          <w:p>
            <w:pPr>
              <w:spacing w:after="0" w:before="0"/>
            </w:pPr>
            <w:r>
              <w:rPr>
                <w:sz w:val="18"/>
                <w:szCs w:val="18"/>
              </w:rPr>
              <w:t xml:space="preserve">"When did UCP become the system of record?"</w:t>
            </w:r>
          </w:p>
        </w:tc>
      </w:tr>
      <w:tr>
        <w:tc>
          <w:tcPr>
            <w:tcW w:type="dxa" w:w="2258"/>
            <w:tcMar>
              <w:top w:type="dxa" w:w="60"/>
              <w:left w:type="dxa" w:w="100"/>
              <w:bottom w:type="dxa" w:w="60"/>
              <w:right w:type="dxa" w:w="100"/>
            </w:tcMar>
          </w:tcPr>
          <w:p>
            <w:pPr>
              <w:spacing w:after="0" w:before="0"/>
            </w:pPr>
            <w:r>
              <w:rPr>
                <w:sz w:val="18"/>
                <w:szCs w:val="18"/>
              </w:rPr>
              <w:t xml:space="preserve">Infrastructure cost</w:t>
            </w:r>
          </w:p>
        </w:tc>
        <w:tc>
          <w:tcPr>
            <w:tcW w:type="dxa" w:w="2256"/>
            <w:tcMar>
              <w:top w:type="dxa" w:w="60"/>
              <w:left w:type="dxa" w:w="100"/>
              <w:bottom w:type="dxa" w:w="60"/>
              <w:right w:type="dxa" w:w="100"/>
            </w:tcMar>
          </w:tcPr>
          <w:p>
            <w:pPr>
              <w:spacing w:after="0" w:before="0"/>
            </w:pPr>
            <w:r>
              <w:rPr>
                <w:sz w:val="18"/>
                <w:szCs w:val="18"/>
              </w:rPr>
              <w:t xml:space="preserve">Enables a cost-efficiency claim</w:t>
            </w:r>
          </w:p>
        </w:tc>
        <w:tc>
          <w:tcPr>
            <w:tcW w:type="dxa" w:w="2256"/>
            <w:tcMar>
              <w:top w:type="dxa" w:w="60"/>
              <w:left w:type="dxa" w:w="100"/>
              <w:bottom w:type="dxa" w:w="60"/>
              <w:right w:type="dxa" w:w="100"/>
            </w:tcMar>
          </w:tcPr>
          <w:p>
            <w:pPr>
              <w:spacing w:after="0" w:before="0"/>
            </w:pPr>
            <w:r>
              <w:rPr>
                <w:sz w:val="18"/>
                <w:szCs w:val="18"/>
              </w:rPr>
              <w:t xml:space="preserve">Azure billing</w:t>
            </w:r>
          </w:p>
        </w:tc>
        <w:tc>
          <w:tcPr>
            <w:tcW w:type="dxa" w:w="2256"/>
            <w:tcMar>
              <w:top w:type="dxa" w:w="60"/>
              <w:left w:type="dxa" w:w="100"/>
              <w:bottom w:type="dxa" w:w="60"/>
              <w:right w:type="dxa" w:w="100"/>
            </w:tcMar>
          </w:tcPr>
          <w:p>
            <w:pPr>
              <w:spacing w:after="0" w:before="0"/>
            </w:pPr>
            <w:r>
              <w:rPr>
                <w:sz w:val="18"/>
                <w:szCs w:val="18"/>
              </w:rPr>
              <w:t xml:space="preserve">"What does UCP cost monthly to run?"</w:t>
            </w:r>
          </w:p>
        </w:tc>
      </w:tr>
      <w:tr>
        <w:tc>
          <w:tcPr>
            <w:tcW w:type="dxa" w:w="2258"/>
            <w:tcMar>
              <w:top w:type="dxa" w:w="60"/>
              <w:left w:type="dxa" w:w="100"/>
              <w:bottom w:type="dxa" w:w="60"/>
              <w:right w:type="dxa" w:w="100"/>
            </w:tcMar>
          </w:tcPr>
          <w:p>
            <w:pPr>
              <w:spacing w:after="0" w:before="0"/>
            </w:pPr>
            <w:r>
              <w:rPr>
                <w:sz w:val="18"/>
                <w:szCs w:val="18"/>
              </w:rPr>
              <w:t xml:space="preserve">Stakeholder feedback</w:t>
            </w:r>
          </w:p>
        </w:tc>
        <w:tc>
          <w:tcPr>
            <w:tcW w:type="dxa" w:w="2256"/>
            <w:tcMar>
              <w:top w:type="dxa" w:w="60"/>
              <w:left w:type="dxa" w:w="100"/>
              <w:bottom w:type="dxa" w:w="60"/>
              <w:right w:type="dxa" w:w="100"/>
            </w:tcMar>
          </w:tcPr>
          <w:p>
            <w:pPr>
              <w:spacing w:after="0" w:before="0"/>
            </w:pPr>
            <w:r>
              <w:rPr>
                <w:sz w:val="18"/>
                <w:szCs w:val="18"/>
              </w:rPr>
              <w:t xml:space="preserve">Qualitative impact evidence</w:t>
            </w:r>
          </w:p>
        </w:tc>
        <w:tc>
          <w:tcPr>
            <w:tcW w:type="dxa" w:w="2256"/>
            <w:tcMar>
              <w:top w:type="dxa" w:w="60"/>
              <w:left w:type="dxa" w:w="100"/>
              <w:bottom w:type="dxa" w:w="60"/>
              <w:right w:type="dxa" w:w="100"/>
            </w:tcMar>
          </w:tcPr>
          <w:p>
            <w:pPr>
              <w:spacing w:after="0" w:before="0"/>
            </w:pPr>
            <w:r>
              <w:rPr>
                <w:sz w:val="18"/>
                <w:szCs w:val="18"/>
              </w:rPr>
              <w:t xml:space="preserve">Ops team; compliance</w:t>
            </w:r>
          </w:p>
        </w:tc>
        <w:tc>
          <w:tcPr>
            <w:tcW w:type="dxa" w:w="2256"/>
            <w:tcMar>
              <w:top w:type="dxa" w:w="60"/>
              <w:left w:type="dxa" w:w="100"/>
              <w:bottom w:type="dxa" w:w="60"/>
              <w:right w:type="dxa" w:w="100"/>
            </w:tcMar>
          </w:tcPr>
          <w:p>
            <w:pPr>
              <w:spacing w:after="0" w:before="0"/>
            </w:pPr>
            <w:r>
              <w:rPr>
                <w:sz w:val="18"/>
                <w:szCs w:val="18"/>
              </w:rPr>
              <w:t xml:space="preserve">"What changed for the team day-to-day?"</w:t>
            </w:r>
          </w:p>
        </w:tc>
      </w:tr>
      <w:tr>
        <w:tc>
          <w:tcPr>
            <w:tcW w:type="dxa" w:w="2258"/>
            <w:tcMar>
              <w:top w:type="dxa" w:w="60"/>
              <w:left w:type="dxa" w:w="100"/>
              <w:bottom w:type="dxa" w:w="60"/>
              <w:right w:type="dxa" w:w="100"/>
            </w:tcMar>
          </w:tcPr>
          <w:p>
            <w:pPr>
              <w:spacing w:after="0" w:before="0"/>
            </w:pPr>
            <w:r>
              <w:rPr>
                <w:sz w:val="18"/>
                <w:szCs w:val="18"/>
              </w:rPr>
              <w:t xml:space="preserve">Sync-failure metric reconciliation (§8.5)</w:t>
            </w:r>
          </w:p>
        </w:tc>
        <w:tc>
          <w:tcPr>
            <w:tcW w:type="dxa" w:w="2256"/>
            <w:tcMar>
              <w:top w:type="dxa" w:w="60"/>
              <w:left w:type="dxa" w:w="100"/>
              <w:bottom w:type="dxa" w:w="60"/>
              <w:right w:type="dxa" w:w="100"/>
            </w:tcMar>
          </w:tcPr>
          <w:p>
            <w:pPr>
              <w:spacing w:after="0" w:before="0"/>
            </w:pPr>
            <w:r>
              <w:rPr>
                <w:sz w:val="18"/>
                <w:szCs w:val="18"/>
              </w:rPr>
              <w:t xml:space="preserve">Two numbers for one concept weakens both</w:t>
            </w:r>
          </w:p>
        </w:tc>
        <w:tc>
          <w:tcPr>
            <w:tcW w:type="dxa" w:w="2256"/>
            <w:tcMar>
              <w:top w:type="dxa" w:w="60"/>
              <w:left w:type="dxa" w:w="100"/>
              <w:bottom w:type="dxa" w:w="60"/>
              <w:right w:type="dxa" w:w="100"/>
            </w:tcMar>
          </w:tcPr>
          <w:p>
            <w:pPr>
              <w:spacing w:after="0" w:before="0"/>
            </w:pPr>
            <w:r>
              <w:rPr>
                <w:sz w:val="18"/>
                <w:szCs w:val="18"/>
              </w:rPr>
              <w:t xml:space="preserve">Code paths emitting </w:t>
            </w:r>
            <w:r>
              <w:rPr>
                <w:rFonts w:ascii="Consolas" w:cs="Consolas" w:eastAsia="Consolas" w:hAnsi="Consolas"/>
                <w:sz w:val="18"/>
                <w:szCs w:val="18"/>
              </w:rPr>
              <w:t xml:space="preserve">preset_flow_sync_failed</w:t>
            </w:r>
          </w:p>
        </w:tc>
        <w:tc>
          <w:tcPr>
            <w:tcW w:type="dxa" w:w="2256"/>
            <w:tcMar>
              <w:top w:type="dxa" w:w="60"/>
              <w:left w:type="dxa" w:w="100"/>
              <w:bottom w:type="dxa" w:w="60"/>
              <w:right w:type="dxa" w:w="100"/>
            </w:tcMar>
          </w:tcPr>
          <w:p>
            <w:pPr>
              <w:spacing w:after="0" w:before="0"/>
            </w:pPr>
            <w:r>
              <w:rPr>
                <w:sz w:val="18"/>
                <w:szCs w:val="18"/>
              </w:rPr>
              <w:t xml:space="preserve">Internal: reconcile definitions</w:t>
            </w:r>
          </w:p>
        </w:tc>
      </w:tr>
      <w:tr>
        <w:tc>
          <w:tcPr>
            <w:tcW w:type="dxa" w:w="2258"/>
            <w:tcMar>
              <w:top w:type="dxa" w:w="60"/>
              <w:left w:type="dxa" w:w="100"/>
              <w:bottom w:type="dxa" w:w="60"/>
              <w:right w:type="dxa" w:w="100"/>
            </w:tcMar>
          </w:tcPr>
          <w:p>
            <w:pPr>
              <w:spacing w:after="0" w:before="0"/>
            </w:pPr>
            <w:r>
              <w:rPr>
                <w:sz w:val="18"/>
                <w:szCs w:val="18"/>
              </w:rPr>
              <w:t xml:space="preserve">Latency / time-to-delivery</w:t>
            </w:r>
          </w:p>
        </w:tc>
        <w:tc>
          <w:tcPr>
            <w:tcW w:type="dxa" w:w="2256"/>
            <w:tcMar>
              <w:top w:type="dxa" w:w="60"/>
              <w:left w:type="dxa" w:w="100"/>
              <w:bottom w:type="dxa" w:w="60"/>
              <w:right w:type="dxa" w:w="100"/>
            </w:tcMar>
          </w:tcPr>
          <w:p>
            <w:pPr>
              <w:spacing w:after="0" w:before="0"/>
            </w:pPr>
            <w:r>
              <w:rPr>
                <w:sz w:val="18"/>
                <w:szCs w:val="18"/>
              </w:rPr>
              <w:t xml:space="preserve">Performance claim</w:t>
            </w:r>
          </w:p>
        </w:tc>
        <w:tc>
          <w:tcPr>
            <w:tcW w:type="dxa" w:w="2256"/>
            <w:tcMar>
              <w:top w:type="dxa" w:w="60"/>
              <w:left w:type="dxa" w:w="100"/>
              <w:bottom w:type="dxa" w:w="60"/>
              <w:right w:type="dxa" w:w="100"/>
            </w:tcMar>
          </w:tcPr>
          <w:p>
            <w:pPr>
              <w:spacing w:after="0" w:before="0"/>
            </w:pPr>
            <w:r>
              <w:rPr>
                <w:sz w:val="18"/>
                <w:szCs w:val="18"/>
              </w:rPr>
              <w:t xml:space="preserve">Derivable from </w:t>
            </w:r>
            <w:r>
              <w:rPr>
                <w:rFonts w:ascii="Consolas" w:cs="Consolas" w:eastAsia="Consolas" w:hAnsi="Consolas"/>
                <w:sz w:val="18"/>
                <w:szCs w:val="18"/>
              </w:rPr>
              <w:t xml:space="preserve">queuedAt</w:t>
            </w:r>
            <w:r>
              <w:rPr>
                <w:sz w:val="18"/>
                <w:szCs w:val="18"/>
              </w:rPr>
              <w:t xml:space="preserve">→</w:t>
            </w:r>
            <w:r>
              <w:rPr>
                <w:rFonts w:ascii="Consolas" w:cs="Consolas" w:eastAsia="Consolas" w:hAnsi="Consolas"/>
                <w:sz w:val="18"/>
                <w:szCs w:val="18"/>
              </w:rPr>
              <w:t xml:space="preserve">sentAt</w:t>
            </w:r>
          </w:p>
        </w:tc>
        <w:tc>
          <w:tcPr>
            <w:tcW w:type="dxa" w:w="2256"/>
            <w:tcMar>
              <w:top w:type="dxa" w:w="60"/>
              <w:left w:type="dxa" w:w="100"/>
              <w:bottom w:type="dxa" w:w="60"/>
              <w:right w:type="dxa" w:w="100"/>
            </w:tcMar>
          </w:tcPr>
          <w:p>
            <w:pPr>
              <w:spacing w:after="0" w:before="0"/>
            </w:pPr>
            <w:r>
              <w:rPr>
                <w:sz w:val="18"/>
                <w:szCs w:val="18"/>
              </w:rPr>
              <w:t xml:space="preserve">Compute in a later pass</w:t>
            </w:r>
          </w:p>
        </w:tc>
      </w:tr>
      <w:tr>
        <w:tc>
          <w:tcPr>
            <w:tcW w:type="dxa" w:w="2258"/>
            <w:tcMar>
              <w:top w:type="dxa" w:w="60"/>
              <w:left w:type="dxa" w:w="100"/>
              <w:bottom w:type="dxa" w:w="60"/>
              <w:right w:type="dxa" w:w="100"/>
            </w:tcMar>
          </w:tcPr>
          <w:p>
            <w:pPr>
              <w:spacing w:after="0" w:before="0"/>
            </w:pPr>
            <w:r>
              <w:rPr>
                <w:sz w:val="18"/>
                <w:szCs w:val="18"/>
              </w:rPr>
              <w:t xml:space="preserve">Whether legacy systems still run in parallel</w:t>
            </w:r>
          </w:p>
        </w:tc>
        <w:tc>
          <w:tcPr>
            <w:tcW w:type="dxa" w:w="2256"/>
            <w:tcMar>
              <w:top w:type="dxa" w:w="60"/>
              <w:left w:type="dxa" w:w="100"/>
              <w:bottom w:type="dxa" w:w="60"/>
              <w:right w:type="dxa" w:w="100"/>
            </w:tcMar>
          </w:tcPr>
          <w:p>
            <w:pPr>
              <w:spacing w:after="0" w:before="0"/>
            </w:pPr>
            <w:r>
              <w:rPr>
                <w:sz w:val="18"/>
                <w:szCs w:val="18"/>
              </w:rPr>
              <w:t xml:space="preserve">Distinguishes "replaced" from "replacing"</w:t>
            </w:r>
          </w:p>
        </w:tc>
        <w:tc>
          <w:tcPr>
            <w:tcW w:type="dxa" w:w="2256"/>
            <w:tcMar>
              <w:top w:type="dxa" w:w="60"/>
              <w:left w:type="dxa" w:w="100"/>
              <w:bottom w:type="dxa" w:w="60"/>
              <w:right w:type="dxa" w:w="100"/>
            </w:tcMar>
          </w:tcPr>
          <w:p>
            <w:pPr>
              <w:spacing w:after="0" w:before="0"/>
            </w:pPr>
            <w:r>
              <w:rPr>
                <w:sz w:val="18"/>
                <w:szCs w:val="18"/>
              </w:rPr>
              <w:t xml:space="preserve">Ops; the 8 discovery-only functions in the cutover plan</w:t>
            </w:r>
          </w:p>
        </w:tc>
        <w:tc>
          <w:tcPr>
            <w:tcW w:type="dxa" w:w="2256"/>
            <w:tcMar>
              <w:top w:type="dxa" w:w="60"/>
              <w:left w:type="dxa" w:w="100"/>
              <w:bottom w:type="dxa" w:w="60"/>
              <w:right w:type="dxa" w:w="100"/>
            </w:tcMar>
          </w:tcPr>
          <w:p>
            <w:pPr>
              <w:spacing w:after="0" w:before="0"/>
            </w:pPr>
            <w:r>
              <w:rPr>
                <w:sz w:val="18"/>
                <w:szCs w:val="18"/>
              </w:rPr>
              <w:t xml:space="preserve">"Are any Apps Scripts or iros-mail endpoints still live?"</w:t>
            </w:r>
          </w:p>
        </w:tc>
      </w:tr>
      <w:tr>
        <w:tc>
          <w:tcPr>
            <w:tcW w:type="dxa" w:w="2258"/>
            <w:tcMar>
              <w:top w:type="dxa" w:w="60"/>
              <w:left w:type="dxa" w:w="100"/>
              <w:bottom w:type="dxa" w:w="60"/>
              <w:right w:type="dxa" w:w="100"/>
            </w:tcMar>
          </w:tcPr>
          <w:p>
            <w:pPr>
              <w:spacing w:after="0" w:before="0"/>
            </w:pPr>
            <w:r>
              <w:rPr>
                <w:sz w:val="18"/>
                <w:szCs w:val="18"/>
              </w:rPr>
              <w:t xml:space="preserve">Customer-lookup usage</w:t>
            </w:r>
          </w:p>
        </w:tc>
        <w:tc>
          <w:tcPr>
            <w:tcW w:type="dxa" w:w="2256"/>
            <w:tcMar>
              <w:top w:type="dxa" w:w="60"/>
              <w:left w:type="dxa" w:w="100"/>
              <w:bottom w:type="dxa" w:w="60"/>
              <w:right w:type="dxa" w:w="100"/>
            </w:tcMar>
          </w:tcPr>
          <w:p>
            <w:pPr>
              <w:spacing w:after="0" w:before="0"/>
            </w:pPr>
            <w:r>
              <w:rPr>
                <w:sz w:val="18"/>
                <w:szCs w:val="18"/>
              </w:rPr>
              <w:t xml:space="preserve">Would show the flagship executive feature is actually used</w:t>
            </w:r>
          </w:p>
        </w:tc>
        <w:tc>
          <w:tcPr>
            <w:tcW w:type="dxa" w:w="2256"/>
            <w:tcMar>
              <w:top w:type="dxa" w:w="60"/>
              <w:left w:type="dxa" w:w="100"/>
              <w:bottom w:type="dxa" w:w="60"/>
              <w:right w:type="dxa" w:w="100"/>
            </w:tcMar>
          </w:tcPr>
          <w:p>
            <w:pPr>
              <w:spacing w:after="0" w:before="0"/>
            </w:pPr>
            <w:r>
              <w:rPr>
                <w:sz w:val="18"/>
                <w:szCs w:val="18"/>
              </w:rPr>
              <w:t xml:space="preserve">Application/request logs, if retained</w:t>
            </w:r>
          </w:p>
        </w:tc>
        <w:tc>
          <w:tcPr>
            <w:tcW w:type="dxa" w:w="2256"/>
            <w:tcMar>
              <w:top w:type="dxa" w:w="60"/>
              <w:left w:type="dxa" w:w="100"/>
              <w:bottom w:type="dxa" w:w="60"/>
              <w:right w:type="dxa" w:w="100"/>
            </w:tcMar>
          </w:tcPr>
          <w:p>
            <w:pPr>
              <w:spacing w:after="0" w:before="0"/>
            </w:pPr>
            <w:r>
              <w:rPr>
                <w:sz w:val="18"/>
                <w:szCs w:val="18"/>
              </w:rPr>
              <w:t xml:space="preserve">"Is there request logging that would show dashboard usage?"</w:t>
            </w:r>
          </w:p>
        </w:tc>
      </w:tr>
    </w:tbl>
    <w:p>
      <w:pPr>
        <w:spacing w:after="180"/>
      </w:pPr>
    </w:p>
    <w:p>
      <w:pPr>
        <w:pStyle w:val="Heading1"/>
        <w:pBdr>
          <w:bottom w:val="single" w:color="BFBFBF" w:sz="6" w:space="6"/>
        </w:pBdr>
        <w:spacing w:after="160" w:before="360"/>
      </w:pPr>
      <w:r>
        <w:rPr>
          <w:b/>
          <w:bCs/>
          <w:color w:val="1F3864"/>
          <w:sz w:val="28"/>
          <w:szCs w:val="28"/>
        </w:rPr>
        <w:t xml:space="preserve">23. Appendix — Evidence Notes</w:t>
      </w:r>
    </w:p>
    <w:p>
      <w:pPr>
        <w:spacing w:after="140" w:before="60" w:line="276"/>
      </w:pPr>
      <w:r>
        <w:rPr>
          <w:b/>
          <w:bCs/>
          <w:sz w:val="20"/>
          <w:szCs w:val="20"/>
        </w:rPr>
        <w:t xml:space="preserve">Method.</w:t>
      </w:r>
      <w:r>
        <w:rPr>
          <w:sz w:val="20"/>
          <w:szCs w:val="20"/>
        </w:rPr>
        <w:t xml:space="preserve"> All production figures come from a single </w:t>
      </w:r>
      <w:r>
        <w:rPr>
          <w:rFonts w:ascii="Consolas" w:cs="Consolas" w:eastAsia="Consolas" w:hAnsi="Consolas"/>
          <w:sz w:val="18"/>
          <w:szCs w:val="18"/>
        </w:rPr>
        <w:t xml:space="preserve">psql</w:t>
      </w:r>
      <w:r>
        <w:rPr>
          <w:sz w:val="20"/>
          <w:szCs w:val="20"/>
        </w:rPr>
        <w:t xml:space="preserve"> session with </w:t>
      </w:r>
      <w:r>
        <w:rPr>
          <w:rFonts w:ascii="Consolas" w:cs="Consolas" w:eastAsia="Consolas" w:hAnsi="Consolas"/>
          <w:sz w:val="18"/>
          <w:szCs w:val="18"/>
        </w:rPr>
        <w:t xml:space="preserve">PGOPTIONS='-c default_transaction_read_only=on -c statement_timeout=120000'</w:t>
      </w:r>
      <w:r>
        <w:rPr>
          <w:sz w:val="20"/>
          <w:szCs w:val="20"/>
        </w:rPr>
        <w:t xml:space="preserve">. The guard was proven before use: </w:t>
      </w:r>
      <w:r>
        <w:rPr>
          <w:rFonts w:ascii="Consolas" w:cs="Consolas" w:eastAsia="Consolas" w:hAnsi="Consolas"/>
          <w:sz w:val="18"/>
          <w:szCs w:val="18"/>
        </w:rPr>
        <w:t xml:space="preserve">CREATE TABLE</w:t>
      </w:r>
      <w:r>
        <w:rPr>
          <w:sz w:val="20"/>
          <w:szCs w:val="20"/>
        </w:rPr>
        <w:t xml:space="preserve"> returned </w:t>
      </w:r>
      <w:r>
        <w:rPr>
          <w:rFonts w:ascii="Consolas" w:cs="Consolas" w:eastAsia="Consolas" w:hAnsi="Consolas"/>
          <w:sz w:val="18"/>
          <w:szCs w:val="18"/>
        </w:rPr>
        <w:t xml:space="preserve">ERROR: cannot execute CREATE TABLE in a read-only transaction</w:t>
      </w:r>
      <w:r>
        <w:rPr>
          <w:sz w:val="20"/>
          <w:szCs w:val="20"/>
        </w:rPr>
        <w:t xml:space="preserve">. Only </w:t>
      </w:r>
      <w:r>
        <w:rPr>
          <w:rFonts w:ascii="Consolas" w:cs="Consolas" w:eastAsia="Consolas" w:hAnsi="Consolas"/>
          <w:sz w:val="18"/>
          <w:szCs w:val="18"/>
        </w:rPr>
        <w:t xml:space="preserve">SELECT</w:t>
      </w:r>
      <w:r>
        <w:rPr>
          <w:sz w:val="20"/>
          <w:szCs w:val="20"/>
        </w:rPr>
        <w:t xml:space="preserve"> with aggregation was executed. No row-level personal data was retrieved, displayed, or stored; one planned query reading error-message text was abandoned when blocked, and the aggregate-only alternative was used instead. Credentials were read from </w:t>
      </w:r>
      <w:r>
        <w:rPr>
          <w:rFonts w:ascii="Consolas" w:cs="Consolas" w:eastAsia="Consolas" w:hAnsi="Consolas"/>
          <w:sz w:val="18"/>
          <w:szCs w:val="18"/>
        </w:rPr>
        <w:t xml:space="preserve">.env</w:t>
      </w:r>
      <w:r>
        <w:rPr>
          <w:sz w:val="20"/>
          <w:szCs w:val="20"/>
        </w:rPr>
        <w:t xml:space="preserve"> inside a script and never printed.</w:t>
      </w:r>
    </w:p>
    <w:p>
      <w:pPr>
        <w:spacing w:after="140" w:before="60" w:line="276"/>
      </w:pPr>
      <w:r>
        <w:rPr>
          <w:b/>
          <w:bCs/>
          <w:sz w:val="20"/>
          <w:szCs w:val="20"/>
        </w:rPr>
        <w:t xml:space="preserve">Reproducing the headline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DF0F7" w:color="auto" w:val="clear"/>
            <w:tcMar>
              <w:top w:type="dxa" w:w="60"/>
              <w:left w:type="dxa" w:w="100"/>
              <w:bottom w:type="dxa" w:w="60"/>
              <w:right w:type="dxa" w:w="100"/>
            </w:tcMar>
          </w:tcPr>
          <w:p>
            <w:pPr>
              <w:spacing w:after="0" w:before="0"/>
            </w:pPr>
            <w:r>
              <w:rPr>
                <w:b/>
                <w:bCs/>
                <w:sz w:val="18"/>
                <w:szCs w:val="18"/>
              </w:rPr>
              <w:t xml:space="preserve">Figure</w:t>
            </w:r>
          </w:p>
        </w:tc>
        <w:tc>
          <w:tcPr>
            <w:tcW w:type="dxa" w:w="4513"/>
            <w:shd w:fill="EDF0F7" w:color="auto" w:val="clear"/>
            <w:tcMar>
              <w:top w:type="dxa" w:w="60"/>
              <w:left w:type="dxa" w:w="100"/>
              <w:bottom w:type="dxa" w:w="60"/>
              <w:right w:type="dxa" w:w="100"/>
            </w:tcMar>
          </w:tcPr>
          <w:p>
            <w:pPr>
              <w:spacing w:after="0" w:before="0"/>
            </w:pPr>
            <w:r>
              <w:rPr>
                <w:b/>
                <w:bCs/>
                <w:sz w:val="18"/>
                <w:szCs w:val="18"/>
              </w:rPr>
              <w:t xml:space="preserve">Query shape</w:t>
            </w:r>
          </w:p>
        </w:tc>
      </w:tr>
      <w:tr>
        <w:tc>
          <w:tcPr>
            <w:tcW w:type="dxa" w:w="4513"/>
            <w:tcMar>
              <w:top w:type="dxa" w:w="60"/>
              <w:left w:type="dxa" w:w="100"/>
              <w:bottom w:type="dxa" w:w="60"/>
              <w:right w:type="dxa" w:w="100"/>
            </w:tcMar>
          </w:tcPr>
          <w:p>
            <w:pPr>
              <w:spacing w:after="0" w:before="0"/>
            </w:pPr>
            <w:r>
              <w:rPr>
                <w:sz w:val="18"/>
                <w:szCs w:val="18"/>
              </w:rPr>
              <w:t xml:space="preserve">85,482 dispatched</w:t>
            </w:r>
          </w:p>
        </w:tc>
        <w:tc>
          <w:tcPr>
            <w:tcW w:type="dxa" w:w="4513"/>
            <w:tcMar>
              <w:top w:type="dxa" w:w="60"/>
              <w:left w:type="dxa" w:w="100"/>
              <w:bottom w:type="dxa" w:w="60"/>
              <w:right w:type="dxa" w:w="100"/>
            </w:tcMar>
          </w:tcPr>
          <w:p>
            <w:pPr>
              <w:spacing w:after="0" w:before="0"/>
            </w:pPr>
            <w:r>
              <w:rPr>
                <w:rFonts w:ascii="Consolas" w:cs="Consolas" w:eastAsia="Consolas" w:hAnsi="Consolas"/>
                <w:sz w:val="18"/>
                <w:szCs w:val="18"/>
              </w:rPr>
              <w:t xml:space="preserve">count(*) from "CampaignExecutionRecipient" where "sentAt" is not null</w:t>
            </w:r>
          </w:p>
        </w:tc>
      </w:tr>
      <w:tr>
        <w:tc>
          <w:tcPr>
            <w:tcW w:type="dxa" w:w="4513"/>
            <w:tcMar>
              <w:top w:type="dxa" w:w="60"/>
              <w:left w:type="dxa" w:w="100"/>
              <w:bottom w:type="dxa" w:w="60"/>
              <w:right w:type="dxa" w:w="100"/>
            </w:tcMar>
          </w:tcPr>
          <w:p>
            <w:pPr>
              <w:spacing w:after="0" w:before="0"/>
            </w:pPr>
            <w:r>
              <w:rPr>
                <w:sz w:val="18"/>
                <w:szCs w:val="18"/>
              </w:rPr>
              <w:t xml:space="preserve">Channel/failure rates</w:t>
            </w:r>
          </w:p>
        </w:tc>
        <w:tc>
          <w:tcPr>
            <w:tcW w:type="dxa" w:w="4513"/>
            <w:tcMar>
              <w:top w:type="dxa" w:w="60"/>
              <w:left w:type="dxa" w:w="100"/>
              <w:bottom w:type="dxa" w:w="60"/>
              <w:right w:type="dxa" w:w="100"/>
            </w:tcMar>
          </w:tcPr>
          <w:p>
            <w:pPr>
              <w:spacing w:after="0" w:before="0"/>
            </w:pPr>
            <w:r>
              <w:rPr>
                <w:rFonts w:ascii="Consolas" w:cs="Consolas" w:eastAsia="Consolas" w:hAnsi="Consolas"/>
                <w:sz w:val="18"/>
                <w:szCs w:val="18"/>
              </w:rPr>
              <w:t xml:space="preserve">group by channel</w:t>
            </w:r>
            <w:r>
              <w:rPr>
                <w:sz w:val="18"/>
                <w:szCs w:val="18"/>
              </w:rPr>
              <w:t xml:space="preserve"> with </w:t>
            </w:r>
            <w:r>
              <w:rPr>
                <w:rFonts w:ascii="Consolas" w:cs="Consolas" w:eastAsia="Consolas" w:hAnsi="Consolas"/>
                <w:sz w:val="18"/>
                <w:szCs w:val="18"/>
              </w:rPr>
              <w:t xml:space="preserve">filter (where status in ('Failed','Bounced'))</w:t>
            </w:r>
          </w:p>
        </w:tc>
      </w:tr>
      <w:tr>
        <w:tc>
          <w:tcPr>
            <w:tcW w:type="dxa" w:w="4513"/>
            <w:tcMar>
              <w:top w:type="dxa" w:w="60"/>
              <w:left w:type="dxa" w:w="100"/>
              <w:bottom w:type="dxa" w:w="60"/>
              <w:right w:type="dxa" w:w="100"/>
            </w:tcMar>
          </w:tcPr>
          <w:p>
            <w:pPr>
              <w:spacing w:after="0" w:before="0"/>
            </w:pPr>
            <w:r>
              <w:rPr>
                <w:sz w:val="18"/>
                <w:szCs w:val="18"/>
              </w:rPr>
              <w:t xml:space="preserve">105 active days / 814 avg</w:t>
            </w:r>
          </w:p>
        </w:tc>
        <w:tc>
          <w:tcPr>
            <w:tcW w:type="dxa" w:w="4513"/>
            <w:tcMar>
              <w:top w:type="dxa" w:w="60"/>
              <w:left w:type="dxa" w:w="100"/>
              <w:bottom w:type="dxa" w:w="60"/>
              <w:right w:type="dxa" w:w="100"/>
            </w:tcMar>
          </w:tcPr>
          <w:p>
            <w:pPr>
              <w:spacing w:after="0" w:before="0"/>
            </w:pPr>
            <w:r>
              <w:rPr>
                <w:rFonts w:ascii="Consolas" w:cs="Consolas" w:eastAsia="Consolas" w:hAnsi="Consolas"/>
                <w:sz w:val="18"/>
                <w:szCs w:val="18"/>
              </w:rPr>
              <w:t xml:space="preserve">count(distinct "sentAt"::date)</w:t>
            </w:r>
            <w:r>
              <w:rPr>
                <w:sz w:val="18"/>
                <w:szCs w:val="18"/>
              </w:rPr>
              <w:t xml:space="preserve">; total ÷ distinct days</w:t>
            </w:r>
          </w:p>
        </w:tc>
      </w:tr>
      <w:tr>
        <w:tc>
          <w:tcPr>
            <w:tcW w:type="dxa" w:w="4513"/>
            <w:tcMar>
              <w:top w:type="dxa" w:w="60"/>
              <w:left w:type="dxa" w:w="100"/>
              <w:bottom w:type="dxa" w:w="60"/>
              <w:right w:type="dxa" w:w="100"/>
            </w:tcMar>
          </w:tcPr>
          <w:p>
            <w:pPr>
              <w:spacing w:after="0" w:before="0"/>
            </w:pPr>
            <w:r>
              <w:rPr>
                <w:sz w:val="18"/>
                <w:szCs w:val="18"/>
              </w:rPr>
              <w:t xml:space="preserve">99.4% automated</w:t>
            </w:r>
          </w:p>
        </w:tc>
        <w:tc>
          <w:tcPr>
            <w:tcW w:type="dxa" w:w="4513"/>
            <w:tcMar>
              <w:top w:type="dxa" w:w="60"/>
              <w:left w:type="dxa" w:w="100"/>
              <w:bottom w:type="dxa" w:w="60"/>
              <w:right w:type="dxa" w:w="100"/>
            </w:tcMar>
          </w:tcPr>
          <w:p>
            <w:pPr>
              <w:spacing w:after="0" w:before="0"/>
            </w:pPr>
            <w:r>
              <w:rPr>
                <w:rFonts w:ascii="Consolas" w:cs="Consolas" w:eastAsia="Consolas" w:hAnsi="Consolas"/>
                <w:sz w:val="18"/>
                <w:szCs w:val="18"/>
              </w:rPr>
              <w:t xml:space="preserve">group by "triggerSource"</w:t>
            </w:r>
            <w:r>
              <w:rPr>
                <w:sz w:val="18"/>
                <w:szCs w:val="18"/>
              </w:rPr>
              <w:t xml:space="preserve">; (4,219+1,011+9) ÷ 5,261</w:t>
            </w:r>
          </w:p>
        </w:tc>
      </w:tr>
      <w:tr>
        <w:tc>
          <w:tcPr>
            <w:tcW w:type="dxa" w:w="4513"/>
            <w:tcMar>
              <w:top w:type="dxa" w:w="60"/>
              <w:left w:type="dxa" w:w="100"/>
              <w:bottom w:type="dxa" w:w="60"/>
              <w:right w:type="dxa" w:w="100"/>
            </w:tcMar>
          </w:tcPr>
          <w:p>
            <w:pPr>
              <w:spacing w:after="0" w:before="0"/>
            </w:pPr>
            <w:r>
              <w:rPr>
                <w:sz w:val="18"/>
                <w:szCs w:val="18"/>
              </w:rPr>
              <w:t xml:space="preserve">99.83% polling</w:t>
            </w:r>
          </w:p>
        </w:tc>
        <w:tc>
          <w:tcPr>
            <w:tcW w:type="dxa" w:w="4513"/>
            <w:tcMar>
              <w:top w:type="dxa" w:w="60"/>
              <w:left w:type="dxa" w:w="100"/>
              <w:bottom w:type="dxa" w:w="60"/>
              <w:right w:type="dxa" w:w="100"/>
            </w:tcMar>
          </w:tcPr>
          <w:p>
            <w:pPr>
              <w:spacing w:after="0" w:before="0"/>
            </w:pPr>
            <w:r>
              <w:rPr>
                <w:rFonts w:ascii="Consolas" w:cs="Consolas" w:eastAsia="Consolas" w:hAnsi="Consolas"/>
                <w:sz w:val="18"/>
                <w:szCs w:val="18"/>
              </w:rPr>
              <w:t xml:space="preserve">group by status on "PresetFlowRun"</w:t>
            </w:r>
            <w:r>
              <w:rPr>
                <w:sz w:val="18"/>
                <w:szCs w:val="18"/>
              </w:rPr>
              <w:t xml:space="preserve">; 149,065 ÷ 149,321</w:t>
            </w:r>
          </w:p>
        </w:tc>
      </w:tr>
      <w:tr>
        <w:tc>
          <w:tcPr>
            <w:tcW w:type="dxa" w:w="4513"/>
            <w:tcMar>
              <w:top w:type="dxa" w:w="60"/>
              <w:left w:type="dxa" w:w="100"/>
              <w:bottom w:type="dxa" w:w="60"/>
              <w:right w:type="dxa" w:w="100"/>
            </w:tcMar>
          </w:tcPr>
          <w:p>
            <w:pPr>
              <w:spacing w:after="0" w:before="0"/>
            </w:pPr>
            <w:r>
              <w:rPr>
                <w:sz w:val="18"/>
                <w:szCs w:val="18"/>
              </w:rPr>
              <w:t xml:space="preserve">Zero duplicate dispatch</w:t>
            </w:r>
          </w:p>
        </w:tc>
        <w:tc>
          <w:tcPr>
            <w:tcW w:type="dxa" w:w="4513"/>
            <w:tcMar>
              <w:top w:type="dxa" w:w="60"/>
              <w:left w:type="dxa" w:w="100"/>
              <w:bottom w:type="dxa" w:w="60"/>
              <w:right w:type="dxa" w:w="100"/>
            </w:tcMar>
          </w:tcPr>
          <w:p>
            <w:pPr>
              <w:spacing w:after="0" w:before="0"/>
            </w:pPr>
            <w:r>
              <w:rPr>
                <w:rFonts w:ascii="Consolas" w:cs="Consolas" w:eastAsia="Consolas" w:hAnsi="Consolas"/>
                <w:sz w:val="18"/>
                <w:szCs w:val="18"/>
              </w:rPr>
              <w:t xml:space="preserve">count(*)</w:t>
            </w:r>
            <w:r>
              <w:rPr>
                <w:sz w:val="18"/>
                <w:szCs w:val="18"/>
              </w:rPr>
              <w:t xml:space="preserve"> vs </w:t>
            </w:r>
            <w:r>
              <w:rPr>
                <w:rFonts w:ascii="Consolas" w:cs="Consolas" w:eastAsia="Consolas" w:hAnsi="Consolas"/>
                <w:sz w:val="18"/>
                <w:szCs w:val="18"/>
              </w:rPr>
              <w:t xml:space="preserve">count(distinct ("scheduleId","scheduledFor"))</w:t>
            </w:r>
          </w:p>
        </w:tc>
      </w:tr>
      <w:tr>
        <w:tc>
          <w:tcPr>
            <w:tcW w:type="dxa" w:w="4513"/>
            <w:tcMar>
              <w:top w:type="dxa" w:w="60"/>
              <w:left w:type="dxa" w:w="100"/>
              <w:bottom w:type="dxa" w:w="60"/>
              <w:right w:type="dxa" w:w="100"/>
            </w:tcMar>
          </w:tcPr>
          <w:p>
            <w:pPr>
              <w:spacing w:after="0" w:before="0"/>
            </w:pPr>
            <w:r>
              <w:rPr>
                <w:sz w:val="18"/>
                <w:szCs w:val="18"/>
              </w:rPr>
              <w:t xml:space="preserve">364,430 audit events</w:t>
            </w:r>
          </w:p>
        </w:tc>
        <w:tc>
          <w:tcPr>
            <w:tcW w:type="dxa" w:w="4513"/>
            <w:tcMar>
              <w:top w:type="dxa" w:w="60"/>
              <w:left w:type="dxa" w:w="100"/>
              <w:bottom w:type="dxa" w:w="60"/>
              <w:right w:type="dxa" w:w="100"/>
            </w:tcMar>
          </w:tcPr>
          <w:p>
            <w:pPr>
              <w:spacing w:after="0" w:before="0"/>
            </w:pPr>
            <w:r>
              <w:rPr>
                <w:rFonts w:ascii="Consolas" w:cs="Consolas" w:eastAsia="Consolas" w:hAnsi="Consolas"/>
                <w:sz w:val="18"/>
                <w:szCs w:val="18"/>
              </w:rPr>
              <w:t xml:space="preserve">count(*)</w:t>
            </w:r>
            <w:r>
              <w:rPr>
                <w:sz w:val="18"/>
                <w:szCs w:val="18"/>
              </w:rPr>
              <w:t xml:space="preserve">, </w:t>
            </w:r>
            <w:r>
              <w:rPr>
                <w:rFonts w:ascii="Consolas" w:cs="Consolas" w:eastAsia="Consolas" w:hAnsi="Consolas"/>
                <w:sz w:val="18"/>
                <w:szCs w:val="18"/>
              </w:rPr>
              <w:t xml:space="preserve">count(distinct action)</w:t>
            </w:r>
            <w:r>
              <w:rPr>
                <w:sz w:val="18"/>
                <w:szCs w:val="18"/>
              </w:rPr>
              <w:t xml:space="preserve"> on </w:t>
            </w:r>
            <w:r>
              <w:rPr>
                <w:rFonts w:ascii="Consolas" w:cs="Consolas" w:eastAsia="Consolas" w:hAnsi="Consolas"/>
                <w:sz w:val="18"/>
                <w:szCs w:val="18"/>
              </w:rPr>
              <w:t xml:space="preserve">"AuditLog"</w:t>
            </w:r>
          </w:p>
        </w:tc>
      </w:tr>
    </w:tbl>
    <w:p>
      <w:pPr>
        <w:spacing w:after="180"/>
      </w:pPr>
    </w:p>
    <w:p>
      <w:pPr>
        <w:spacing w:after="140" w:before="60" w:line="276"/>
      </w:pPr>
      <w:r>
        <w:rPr>
          <w:b/>
          <w:bCs/>
          <w:sz w:val="20"/>
          <w:szCs w:val="20"/>
        </w:rPr>
        <w:t xml:space="preserve">Codebase counts.</w:t>
      </w:r>
      <w:r>
        <w:rPr>
          <w:sz w:val="20"/>
          <w:szCs w:val="20"/>
        </w:rPr>
        <w:t xml:space="preserve"> </w:t>
      </w:r>
      <w:r>
        <w:rPr>
          <w:rFonts w:ascii="Consolas" w:cs="Consolas" w:eastAsia="Consolas" w:hAnsi="Consolas"/>
          <w:sz w:val="18"/>
          <w:szCs w:val="18"/>
        </w:rPr>
        <w:t xml:space="preserve">find</w:t>
      </w:r>
      <w:r>
        <w:rPr>
          <w:sz w:val="20"/>
          <w:szCs w:val="20"/>
        </w:rPr>
        <w:t xml:space="preserve">/</w:t>
      </w:r>
      <w:r>
        <w:rPr>
          <w:rFonts w:ascii="Consolas" w:cs="Consolas" w:eastAsia="Consolas" w:hAnsi="Consolas"/>
          <w:sz w:val="18"/>
          <w:szCs w:val="18"/>
        </w:rPr>
        <w:t xml:space="preserve">wc -l</w:t>
      </w:r>
      <w:r>
        <w:rPr>
          <w:sz w:val="20"/>
          <w:szCs w:val="20"/>
        </w:rPr>
        <w:t xml:space="preserve"> over </w:t>
      </w:r>
      <w:r>
        <w:rPr>
          <w:rFonts w:ascii="Consolas" w:cs="Consolas" w:eastAsia="Consolas" w:hAnsi="Consolas"/>
          <w:sz w:val="18"/>
          <w:szCs w:val="18"/>
        </w:rPr>
        <w:t xml:space="preserve">src</w:t>
      </w:r>
      <w:r>
        <w:rPr>
          <w:sz w:val="20"/>
          <w:szCs w:val="20"/>
        </w:rPr>
        <w:t xml:space="preserve">; route count via </w:t>
      </w:r>
      <w:r>
        <w:rPr>
          <w:rFonts w:ascii="Consolas" w:cs="Consolas" w:eastAsia="Consolas" w:hAnsi="Consolas"/>
          <w:sz w:val="18"/>
          <w:szCs w:val="18"/>
        </w:rPr>
        <w:t xml:space="preserve">grep -c</w:t>
      </w:r>
      <w:r>
        <w:rPr>
          <w:sz w:val="20"/>
          <w:szCs w:val="20"/>
        </w:rPr>
        <w:t xml:space="preserve"> on HTTP method decorators; model and migration counts from </w:t>
      </w:r>
      <w:r>
        <w:rPr>
          <w:rFonts w:ascii="Consolas" w:cs="Consolas" w:eastAsia="Consolas" w:hAnsi="Consolas"/>
          <w:sz w:val="18"/>
          <w:szCs w:val="18"/>
        </w:rPr>
        <w:t xml:space="preserve">prisma/</w:t>
      </w:r>
      <w:r>
        <w:rPr>
          <w:sz w:val="20"/>
          <w:szCs w:val="20"/>
        </w:rPr>
        <w:t xml:space="preserve">. </w:t>
      </w:r>
      <w:r>
        <w:rPr>
          <w:b/>
          <w:bCs/>
          <w:sz w:val="20"/>
          <w:szCs w:val="20"/>
        </w:rPr>
        <w:t xml:space="preserve">Authorship.</w:t>
      </w:r>
      <w:r>
        <w:rPr>
          <w:sz w:val="20"/>
          <w:szCs w:val="20"/>
        </w:rPr>
        <w:t xml:space="preserve"> </w:t>
      </w:r>
      <w:r>
        <w:rPr>
          <w:rFonts w:ascii="Consolas" w:cs="Consolas" w:eastAsia="Consolas" w:hAnsi="Consolas"/>
          <w:sz w:val="18"/>
          <w:szCs w:val="18"/>
        </w:rPr>
        <w:t xml:space="preserve">git shortlog -sne --all</w:t>
      </w:r>
      <w:r>
        <w:rPr>
          <w:sz w:val="20"/>
          <w:szCs w:val="20"/>
        </w:rPr>
        <w:t xml:space="preserve"> and </w:t>
      </w:r>
      <w:r>
        <w:rPr>
          <w:rFonts w:ascii="Consolas" w:cs="Consolas" w:eastAsia="Consolas" w:hAnsi="Consolas"/>
          <w:sz w:val="18"/>
          <w:szCs w:val="18"/>
        </w:rPr>
        <w:t xml:space="preserve">git log --author --numstat</w:t>
      </w:r>
      <w:r>
        <w:rPr>
          <w:sz w:val="20"/>
          <w:szCs w:val="20"/>
        </w:rPr>
        <w:t xml:space="preserve">.</w:t>
      </w:r>
    </w:p>
    <w:p>
      <w:pPr>
        <w:spacing w:after="140" w:before="60" w:line="276"/>
      </w:pPr>
      <w:r>
        <w:rPr>
          <w:b/>
          <w:bCs/>
          <w:sz w:val="20"/>
          <w:szCs w:val="20"/>
        </w:rPr>
        <w:t xml:space="preserve">Boundary note.</w:t>
      </w:r>
      <w:r>
        <w:rPr>
          <w:sz w:val="20"/>
          <w:szCs w:val="20"/>
        </w:rPr>
        <w:t xml:space="preserve"> This audit was read-only in both directions: no application code was modified, no refactoring performed, and no production state altered.</w:t>
      </w:r>
    </w:p>
    <w:p>
      <w:pPr>
        <w:spacing w:after="140" w:before="60" w:line="276"/>
      </w:pPr>
      <w:r>
        <w:rPr>
          <w:b/>
          <w:bCs/>
          <w:sz w:val="20"/>
          <w:szCs w:val="20"/>
        </w:rPr>
        <w:t xml:space="preserve">Revision note (10 October 2026).</w:t>
      </w:r>
      <w:r>
        <w:rPr>
          <w:sz w:val="20"/>
          <w:szCs w:val="20"/>
        </w:rPr>
        <w:t xml:space="preserve"> The subject supplied origin context — scattered communications, no monitoring, silent failures and manual re-triggering, executive demand for consolidation, per-customer lookup and reporting, and CEO/CTO commendation. Rather than record this as testimony alone, the legacy source was re-examined, which corroborated the failure mechanism (</w:t>
      </w:r>
      <w:r>
        <w:rPr>
          <w:rFonts w:ascii="Consolas" w:cs="Consolas" w:eastAsia="Consolas" w:hAnsi="Consolas"/>
          <w:sz w:val="18"/>
          <w:szCs w:val="18"/>
        </w:rPr>
        <w:t xml:space="preserve">notifyExecutionFailed</w:t>
      </w:r>
      <w:r>
        <w:rPr>
          <w:sz w:val="20"/>
          <w:szCs w:val="20"/>
        </w:rPr>
        <w:t xml:space="preserve"> as an unimplemented stub; errors caught and logged only), the absence of any send-level record (0 occurrences of sheet logging; only per-process </w:t>
      </w:r>
      <w:r>
        <w:rPr>
          <w:rFonts w:ascii="Consolas" w:cs="Consolas" w:eastAsia="Consolas" w:hAnsi="Consolas"/>
          <w:sz w:val="18"/>
          <w:szCs w:val="18"/>
        </w:rPr>
        <w:t xml:space="preserve">wp_*</w:t>
      </w:r>
      <w:r>
        <w:rPr>
          <w:sz w:val="20"/>
          <w:szCs w:val="20"/>
        </w:rPr>
        <w:t xml:space="preserve"> row markers), and the absence of any interface. Two further findings emerged that the first draft had missed entirely: </w:t>
      </w:r>
      <w:r>
        <w:rPr>
          <w:rFonts w:ascii="Consolas" w:cs="Consolas" w:eastAsia="Consolas" w:hAnsi="Consolas"/>
          <w:sz w:val="18"/>
          <w:szCs w:val="18"/>
        </w:rPr>
        <w:t xml:space="preserve">old-iros-mail</w:t>
      </w:r>
      <w:r>
        <w:rPr>
          <w:sz w:val="20"/>
          <w:szCs w:val="20"/>
        </w:rPr>
        <w:t xml:space="preserve"> is a </w:t>
      </w:r>
      <w:r>
        <w:rPr>
          <w:b/>
          <w:bCs/>
          <w:sz w:val="20"/>
          <w:szCs w:val="20"/>
        </w:rPr>
        <w:t xml:space="preserve">replaced production system</w:t>
      </w:r>
      <w:r>
        <w:rPr>
          <w:sz w:val="20"/>
          <w:szCs w:val="20"/>
        </w:rPr>
        <w:t xml:space="preserve">, not merely reference material, and the External Service Comms API is a </w:t>
      </w:r>
      <w:r>
        <w:rPr>
          <w:b/>
          <w:bCs/>
          <w:sz w:val="20"/>
          <w:szCs w:val="20"/>
        </w:rPr>
        <w:t xml:space="preserve">deliberate verbatim reimplementation of its contract</w:t>
      </w:r>
      <w:r>
        <w:rPr>
          <w:sz w:val="20"/>
          <w:szCs w:val="20"/>
        </w:rPr>
        <w:t xml:space="preserve">, which explains the measured client migration. Claims 13–17, the compatibility-layer decision in §11, §3 in full, and the reclassified baseline gap in §22 all derive from this pass. Testimony that could not be corroborated — principally the executive commendation — is labelled TESTIMONY and left unquantified.</w:t>
      </w:r>
    </w:p>
    <w:p>
      <w:pPr>
        <w:spacing w:after="140" w:before="60" w:line="276"/>
      </w:pPr>
      <w:r>
        <w:rPr>
          <w:i/>
          <w:iCs/>
          <w:sz w:val="20"/>
          <w:szCs w:val="20"/>
        </w:rPr>
        <w:t xml:space="preserve">Compiled 8 October 2026 from repository, Git, documentation and read-only production evidence; revised 10 October 2026. Figures are point-in-time as at 8 October 2026. Claims are labelled by evidence level; anything unlabelled in the narrative is supported by the sources named in its section.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Unified Communications Platform — Career Evidence Dossier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Communications Platform (UCP) — Career Evidence Dossier</dc:title>
  <dc:creator>Career Evidence Audit</dc:creator>
  <dc:description>Evidence-based professional audit</dc:description>
  <cp:lastModifiedBy>Un-named</cp:lastModifiedBy>
  <cp:revision>1</cp:revision>
  <dcterms:created xsi:type="dcterms:W3CDTF">2026-10-10T01:28:56.481Z</dcterms:created>
  <dcterms:modified xsi:type="dcterms:W3CDTF">2026-10-10T01:28:56.482Z</dcterms:modified>
</cp:coreProperties>
</file>

<file path=docProps/custom.xml><?xml version="1.0" encoding="utf-8"?>
<Properties xmlns="http://schemas.openxmlformats.org/officeDocument/2006/custom-properties" xmlns:vt="http://schemas.openxmlformats.org/officeDocument/2006/docPropsVTypes"/>
</file>