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7400"/>
          <w:sz w:val="18"/>
          <w:szCs w:val="18"/>
        </w:rPr>
        <w:t xml:space="preserve">INSTITUTO TECNOLÓGICO DE QUERÉTARO · TecNM</w:t>
      </w:r>
    </w:p>
    <w:p>
      <w:pPr>
        <w:spacing w:after="40"/>
      </w:pPr>
      <w:r>
        <w:rPr>
          <w:color w:val="5A6572"/>
          <w:sz w:val="18"/>
          <w:szCs w:val="18"/>
        </w:rPr>
        <w:t xml:space="preserve">Maestría · Visión Artificial</w:t>
      </w:r>
    </w:p>
    <w:p>
      <w:pPr>
        <w:spacing w:after="60" w:before="120"/>
      </w:pPr>
      <w:r>
        <w:rPr>
          <w:b/>
          <w:bCs/>
          <w:color w:val="1B2430"/>
          <w:sz w:val="34"/>
          <w:szCs w:val="34"/>
        </w:rPr>
        <w:t xml:space="preserve">Actividad — Sesión 1: Espacios de color y procesamiento por perfil</w:t>
      </w:r>
    </w:p>
    <w:p>
      <w:pPr>
        <w:pBdr>
          <w:bottom w:val="single" w:color="B87400" w:sz="12" w:space="2"/>
        </w:pBdr>
        <w:spacing w:after="200"/>
      </w:pPr>
      <w:r>
        <w:rPr>
          <w:color w:val="5A6572"/>
          <w:sz w:val="20"/>
          <w:szCs w:val="20"/>
        </w:rPr>
        <w:t xml:space="preserve">Dr. Víctor Alejandro González Huitrón</w:t>
      </w:r>
    </w:p>
    <w:p>
      <w:pPr>
        <w:spacing w:after="120" w:line="276"/>
        <w:jc w:val="both"/>
      </w:pPr>
      <w:r>
        <w:rPr>
          <w:b w:val="false"/>
          <w:bCs w:val="false"/>
          <w:i w:val="false"/>
          <w:iCs w:val="false"/>
          <w:color w:val="1B2430"/>
          <w:sz w:val="21"/>
          <w:szCs w:val="21"/>
        </w:rPr>
        <w:t xml:space="preserve">Cada alumno desarrolla la actividad correspondiente a su </w:t>
      </w:r>
      <w:r>
        <w:rPr>
          <w:b/>
          <w:bCs/>
          <w:i w:val="false"/>
          <w:iCs w:val="false"/>
          <w:color w:val="1B2430"/>
          <w:sz w:val="21"/>
          <w:szCs w:val="21"/>
        </w:rPr>
        <w:t xml:space="preserve">perfil de proyecto</w:t>
      </w:r>
      <w:r>
        <w:rPr>
          <w:b w:val="false"/>
          <w:bCs w:val="false"/>
          <w:i w:val="false"/>
          <w:iCs w:val="false"/>
          <w:color w:val="1B2430"/>
          <w:sz w:val="21"/>
          <w:szCs w:val="21"/>
        </w:rPr>
        <w:t xml:space="preserve">. Las cuatro variantes parten de los mismos fundamentos vistos en clase (formación de la imagen y espacios de color), pero se anclan al dominio de cada proyecto. El trabajo se realiza fuera del horario de clase y se revisa en la siguiente sesión. La evaluación usa una </w:t>
      </w:r>
      <w:r>
        <w:rPr>
          <w:b/>
          <w:bCs/>
          <w:i w:val="false"/>
          <w:iCs w:val="false"/>
          <w:color w:val="1B2430"/>
          <w:sz w:val="21"/>
          <w:szCs w:val="21"/>
        </w:rPr>
        <w:t xml:space="preserve">rúbrica común</w:t>
      </w:r>
      <w:r>
        <w:rPr>
          <w:b w:val="false"/>
          <w:bCs w:val="false"/>
          <w:i w:val="false"/>
          <w:iCs w:val="false"/>
          <w:color w:val="1B2430"/>
          <w:sz w:val="21"/>
          <w:szCs w:val="21"/>
        </w:rPr>
        <w:t xml:space="preserve"> (al final de este documento) para las cuatro actividades.</w:t>
      </w:r>
    </w:p>
    <w:p>
      <w:pPr>
        <w:pStyle w:val="Heading2"/>
        <w:spacing w:after="90" w:before="220"/>
      </w:pPr>
      <w:r>
        <w:rPr>
          <w:b/>
          <w:bCs/>
          <w:color w:val="B87400"/>
          <w:sz w:val="26"/>
          <w:szCs w:val="26"/>
        </w:rPr>
        <w:t xml:space="preserve">Perfil 1 — Red IoT para datos médicos (Raspberry Pi)</w:t>
      </w:r>
    </w:p>
    <w:p>
      <w:pPr>
        <w:spacing w:after="60" w:before="140"/>
      </w:pPr>
      <w:r>
        <w:rPr>
          <w:b/>
          <w:bCs/>
          <w:color w:val="1B2430"/>
          <w:sz w:val="22"/>
          <w:szCs w:val="22"/>
        </w:rPr>
        <w:t xml:space="preserve">Compresión y transporte de imagen con Protocol Buffers</w:t>
      </w:r>
    </w:p>
    <w:p>
      <w:pPr>
        <w:spacing w:after="120" w:line="276"/>
        <w:jc w:val="both"/>
      </w:pPr>
      <w:r>
        <w:rPr>
          <w:b w:val="false"/>
          <w:bCs w:val="false"/>
          <w:i w:val="false"/>
          <w:iCs w:val="false"/>
          <w:color w:val="1B2430"/>
          <w:sz w:val="21"/>
          <w:szCs w:val="21"/>
        </w:rPr>
        <w:t xml:space="preserve">El objetivo es diseñar el flujo completo de envío de una imagen entre dos nodos, integrando la compresión con la serialización estructurada que se retomará en la sesión 2. En el nodo emisor, el alumno comprime una imagen a formato </w:t>
      </w:r>
      <w:r>
        <w:rPr>
          <w:b/>
          <w:bCs/>
          <w:i w:val="false"/>
          <w:iCs w:val="false"/>
          <w:color w:val="1B2430"/>
          <w:sz w:val="21"/>
          <w:szCs w:val="21"/>
        </w:rPr>
        <w:t xml:space="preserve">JPEG</w:t>
      </w:r>
      <w:r>
        <w:rPr>
          <w:b w:val="false"/>
          <w:bCs w:val="false"/>
          <w:i w:val="false"/>
          <w:iCs w:val="false"/>
          <w:color w:val="1B2430"/>
          <w:sz w:val="21"/>
          <w:szCs w:val="21"/>
        </w:rPr>
        <w:t xml:space="preserve"> controlando el factor de calidad, define un esquema </w:t>
      </w:r>
      <w:r>
        <w:rPr>
          <w:b w:val="false"/>
          <w:bCs w:val="false"/>
          <w:i/>
          <w:iCs/>
          <w:color w:val="1B2430"/>
          <w:sz w:val="21"/>
          <w:szCs w:val="21"/>
        </w:rPr>
        <w:t xml:space="preserve">.proto</w:t>
      </w:r>
      <w:r>
        <w:rPr>
          <w:b w:val="false"/>
          <w:bCs w:val="false"/>
          <w:i w:val="false"/>
          <w:iCs w:val="false"/>
          <w:color w:val="1B2430"/>
          <w:sz w:val="21"/>
          <w:szCs w:val="21"/>
        </w:rPr>
        <w:t xml:space="preserve"> que encapsule el mensaje (los bytes de la imagen JPEG más metadatos: ancho, alto, formato y marca de tiempo), serializa el mensaje y lo transmite. En el nodo receptor, deserializa el Protocol Buffer y reconstruye la imagen para su visualización o almacenamiento.</w:t>
      </w:r>
    </w:p>
    <w:p>
      <w:pPr>
        <w:spacing w:after="120" w:line="276"/>
        <w:jc w:val="both"/>
      </w:pPr>
      <w:r>
        <w:rPr>
          <w:b w:val="false"/>
          <w:bCs w:val="false"/>
          <w:i w:val="false"/>
          <w:iCs w:val="false"/>
          <w:color w:val="1B2430"/>
          <w:sz w:val="21"/>
          <w:szCs w:val="21"/>
        </w:rPr>
        <w:t xml:space="preserve">La actividad conecta dos ideas: la compresión reduce el volumen de datos a transmitir por la red (crítico en un sistema IoT con ancho de banda limitado), y Protocol Buffers provee un contrato de datos eficiente y portable entre el dispositivo embebido y el nodo de consumo.</w:t>
      </w:r>
    </w:p>
    <w:p>
      <w:pPr>
        <w:spacing w:after="120" w:line="276"/>
        <w:jc w:val="both"/>
      </w:pPr>
      <w:r>
        <w:rPr>
          <w:b/>
          <w:bCs/>
          <w:color w:val="B87400"/>
          <w:sz w:val="21"/>
          <w:szCs w:val="21"/>
        </w:rPr>
        <w:t xml:space="preserve">Entregables. </w:t>
      </w:r>
      <w:r>
        <w:rPr>
          <w:b w:val="false"/>
          <w:bCs w:val="false"/>
          <w:i w:val="false"/>
          <w:iCs w:val="false"/>
          <w:color w:val="1B2430"/>
          <w:sz w:val="21"/>
          <w:szCs w:val="21"/>
        </w:rPr>
        <w:t xml:space="preserve">Archivo </w:t>
      </w:r>
      <w:r>
        <w:rPr>
          <w:b w:val="false"/>
          <w:bCs w:val="false"/>
          <w:i/>
          <w:iCs/>
          <w:color w:val="1B2430"/>
          <w:sz w:val="21"/>
          <w:szCs w:val="21"/>
        </w:rPr>
        <w:t xml:space="preserve">.proto</w:t>
      </w:r>
      <w:r>
        <w:rPr>
          <w:b w:val="false"/>
          <w:bCs w:val="false"/>
          <w:i w:val="false"/>
          <w:iCs w:val="false"/>
          <w:color w:val="1B2430"/>
          <w:sz w:val="21"/>
          <w:szCs w:val="21"/>
        </w:rPr>
        <w:t xml:space="preserve"> con el esquema del mensaje; código de serialización/deserialización; tabla comparativa del tamaño del payload para la imagen sin comprimir (RAW/PNG) frente a JPEG en al menos tres factores de calidad; y una discusión de la compensación entre calidad de imagen, peso del mensaje y latencia de transmisión.</w:t>
      </w:r>
    </w:p>
    <w:p>
      <w:pPr>
        <w:pBdr>
          <w:bottom w:val="single" w:color="D0D8E0" w:sz="6" w:space="1"/>
        </w:pBdr>
        <w:spacing w:after="120" w:before="60"/>
      </w:pPr>
      <w:r>
        <w:rPr>
          <w:sz w:val="2"/>
          <w:szCs w:val="2"/>
        </w:rPr>
        <w:t xml:space="preserve"/>
      </w:r>
    </w:p>
    <w:p>
      <w:pPr>
        <w:pStyle w:val="Heading2"/>
        <w:spacing w:after="90" w:before="220"/>
      </w:pPr>
      <w:r>
        <w:rPr>
          <w:b/>
          <w:bCs/>
          <w:color w:val="B87400"/>
          <w:sz w:val="26"/>
          <w:szCs w:val="26"/>
        </w:rPr>
        <w:t xml:space="preserve">Perfil 2 — Detección de anomalías en mastografía</w:t>
      </w:r>
    </w:p>
    <w:p>
      <w:pPr>
        <w:spacing w:after="60" w:before="140"/>
      </w:pPr>
      <w:r>
        <w:rPr>
          <w:b/>
          <w:bCs/>
          <w:color w:val="1B2430"/>
          <w:sz w:val="22"/>
          <w:szCs w:val="22"/>
        </w:rPr>
        <w:t xml:space="preserve">Realce de bajo contraste: ecualización global frente a CLAHE</w:t>
      </w:r>
    </w:p>
    <w:p>
      <w:pPr>
        <w:spacing w:after="120" w:line="276"/>
        <w:jc w:val="both"/>
      </w:pPr>
      <w:r>
        <w:rPr>
          <w:b w:val="false"/>
          <w:bCs w:val="false"/>
          <w:i w:val="false"/>
          <w:iCs w:val="false"/>
          <w:color w:val="1B2430"/>
          <w:sz w:val="21"/>
          <w:szCs w:val="21"/>
        </w:rPr>
        <w:t xml:space="preserve">El alumno trabaja con imágenes mamográficas (escala de grises, típicamente de bajo contraste) y aplica dos técnicas de realce basadas en histograma, explicando el fundamento de cada una en el reporte:</w:t>
      </w:r>
    </w:p>
    <w:p>
      <w:pPr>
        <w:pStyle w:val="ListParagraph"/>
        <w:numPr>
          <w:ilvl w:val="0"/>
          <w:numId w:val="1"/>
        </w:numPr>
        <w:spacing w:after="70" w:line="264"/>
        <w:jc w:val="both"/>
      </w:pPr>
      <w:r>
        <w:rPr>
          <w:b/>
          <w:bCs/>
          <w:color w:val="B87400"/>
          <w:sz w:val="21"/>
          <w:szCs w:val="21"/>
        </w:rPr>
        <w:t xml:space="preserve">Ecualización de histograma global: </w:t>
      </w:r>
      <w:r>
        <w:rPr>
          <w:b w:val="false"/>
          <w:bCs w:val="false"/>
          <w:i w:val="false"/>
          <w:iCs w:val="false"/>
          <w:color w:val="1B2430"/>
          <w:sz w:val="21"/>
          <w:szCs w:val="21"/>
        </w:rPr>
        <w:t xml:space="preserve">redistribuye las intensidades usando la función de distribución acumulada (CDF) para aproximar un histograma de salida uniforme, maximizando el uso del rango dinámico. Su limitación es que amplifica el ruido y puede producir resultados poco naturales cuando la imagen tiene regiones de estadísticas muy distintas.</w:t>
      </w:r>
    </w:p>
    <w:p>
      <w:pPr>
        <w:pStyle w:val="ListParagraph"/>
        <w:numPr>
          <w:ilvl w:val="0"/>
          <w:numId w:val="1"/>
        </w:numPr>
        <w:spacing w:after="70" w:line="264"/>
        <w:jc w:val="both"/>
      </w:pPr>
      <w:r>
        <w:rPr>
          <w:b/>
          <w:bCs/>
          <w:color w:val="B87400"/>
          <w:sz w:val="21"/>
          <w:szCs w:val="21"/>
        </w:rPr>
        <w:t xml:space="preserve">CLAHE (ecualización adaptativa con límite de contraste): </w:t>
      </w:r>
      <w:r>
        <w:rPr>
          <w:b w:val="false"/>
          <w:bCs w:val="false"/>
          <w:i w:val="false"/>
          <w:iCs w:val="false"/>
          <w:color w:val="1B2430"/>
          <w:sz w:val="21"/>
          <w:szCs w:val="21"/>
        </w:rPr>
        <w:t xml:space="preserve">opera por regiones (tiles) en lugar de sobre toda la imagen, y limita la amplificación del contraste mediante un recorte del histograma antes de acumular. Esto evita realzar el ruido en zonas homogéneas, lo que la hace especialmente adecuada para imagen médica.</w:t>
      </w:r>
    </w:p>
    <w:p>
      <w:pPr>
        <w:spacing w:after="120" w:line="276"/>
        <w:jc w:val="both"/>
      </w:pPr>
      <w:r>
        <w:rPr>
          <w:b w:val="false"/>
          <w:bCs w:val="false"/>
          <w:i w:val="false"/>
          <w:iCs w:val="false"/>
          <w:color w:val="1B2430"/>
          <w:sz w:val="21"/>
          <w:szCs w:val="21"/>
        </w:rPr>
        <w:t xml:space="preserve">El alumno evalúa cuál de las dos realza mejor las regiones de interés (posibles anomalías) sin degradar la imagen, apoyándose en una métrica objetiva de contraste y en la inspección visual, y argumenta la elección del parámetro de límite de contraste.</w:t>
      </w:r>
    </w:p>
    <w:p>
      <w:pPr>
        <w:spacing w:after="120" w:line="276"/>
        <w:jc w:val="both"/>
      </w:pPr>
      <w:r>
        <w:rPr>
          <w:b/>
          <w:bCs/>
          <w:color w:val="B87400"/>
          <w:sz w:val="21"/>
          <w:szCs w:val="21"/>
        </w:rPr>
        <w:t xml:space="preserve">Entregables. </w:t>
      </w:r>
      <w:r>
        <w:rPr>
          <w:b w:val="false"/>
          <w:bCs w:val="false"/>
          <w:i w:val="false"/>
          <w:iCs w:val="false"/>
          <w:color w:val="1B2430"/>
          <w:sz w:val="21"/>
          <w:szCs w:val="21"/>
        </w:rPr>
        <w:t xml:space="preserve">Visualizaciones lado a lado (original / ecualización global / CLAHE); explicación conceptual de ambas técnicas; métrica de contraste antes y después; y justificación del parámetro de límite empleado.</w:t>
      </w:r>
    </w:p>
    <w:p>
      <w:pPr>
        <w:pBdr>
          <w:bottom w:val="single" w:color="D0D8E0" w:sz="6" w:space="1"/>
        </w:pBdr>
        <w:spacing w:after="120" w:before="60"/>
      </w:pPr>
      <w:r>
        <w:rPr>
          <w:sz w:val="2"/>
          <w:szCs w:val="2"/>
        </w:rPr>
        <w:t xml:space="preserve"/>
      </w:r>
    </w:p>
    <w:p>
      <w:pPr>
        <w:pStyle w:val="Heading2"/>
        <w:spacing w:after="90" w:before="220"/>
      </w:pPr>
      <w:r>
        <w:rPr>
          <w:b/>
          <w:bCs/>
          <w:color w:val="B87400"/>
          <w:sz w:val="26"/>
          <w:szCs w:val="26"/>
        </w:rPr>
        <w:t xml:space="preserve">Perfil 3 — Reconstrucción 3D para ADAS</w:t>
      </w:r>
    </w:p>
    <w:p>
      <w:pPr>
        <w:spacing w:after="60" w:before="140"/>
      </w:pPr>
      <w:r>
        <w:rPr>
          <w:b/>
          <w:bCs/>
          <w:color w:val="1B2430"/>
          <w:sz w:val="22"/>
          <w:szCs w:val="22"/>
        </w:rPr>
        <w:t xml:space="preserve">Detección de color de señalización: CIELAB frente a HSV bajo distintas iluminaciones</w:t>
      </w:r>
    </w:p>
    <w:p>
      <w:pPr>
        <w:spacing w:after="120" w:line="276"/>
        <w:jc w:val="both"/>
      </w:pPr>
      <w:r>
        <w:rPr>
          <w:b w:val="false"/>
          <w:bCs w:val="false"/>
          <w:i w:val="false"/>
          <w:iCs w:val="false"/>
          <w:color w:val="1B2430"/>
          <w:sz w:val="21"/>
          <w:szCs w:val="21"/>
        </w:rPr>
        <w:t xml:space="preserve">El alumno toma imágenes que contengan señales de tránsito de fondo </w:t>
      </w:r>
      <w:r>
        <w:rPr>
          <w:b/>
          <w:bCs/>
          <w:i w:val="false"/>
          <w:iCs w:val="false"/>
          <w:color w:val="1B2430"/>
          <w:sz w:val="21"/>
          <w:szCs w:val="21"/>
        </w:rPr>
        <w:t xml:space="preserve">rojo o amarillo</w:t>
      </w:r>
      <w:r>
        <w:rPr>
          <w:b w:val="false"/>
          <w:bCs w:val="false"/>
          <w:i w:val="false"/>
          <w:iCs w:val="false"/>
          <w:color w:val="1B2430"/>
          <w:sz w:val="21"/>
          <w:szCs w:val="21"/>
        </w:rPr>
        <w:t xml:space="preserve">, identifica el color con el espacio </w:t>
      </w:r>
      <w:r>
        <w:rPr>
          <w:b/>
          <w:bCs/>
          <w:i w:val="false"/>
          <w:iCs w:val="false"/>
          <w:color w:val="1B2430"/>
          <w:sz w:val="21"/>
          <w:szCs w:val="21"/>
        </w:rPr>
        <w:t xml:space="preserve">CIELAB</w:t>
      </w:r>
      <w:r>
        <w:rPr>
          <w:b w:val="false"/>
          <w:bCs w:val="false"/>
          <w:i w:val="false"/>
          <w:iCs w:val="false"/>
          <w:color w:val="1B2430"/>
          <w:sz w:val="21"/>
          <w:szCs w:val="21"/>
        </w:rPr>
        <w:t xml:space="preserve"> construyendo la máscara a partir del signo y la magnitud del canal a* (para rojo) o b* (para amarillo), sin recurrir a umbrales de matiz como en HSV. Con la máscara, </w:t>
      </w:r>
      <w:r>
        <w:rPr>
          <w:b/>
          <w:bCs/>
          <w:i w:val="false"/>
          <w:iCs w:val="false"/>
          <w:color w:val="1B2430"/>
          <w:sz w:val="21"/>
          <w:szCs w:val="21"/>
        </w:rPr>
        <w:t xml:space="preserve">reemplaza la región detectada por otro tono con fines de visualización</w:t>
      </w:r>
      <w:r>
        <w:rPr>
          <w:b w:val="false"/>
          <w:bCs w:val="false"/>
          <w:i w:val="false"/>
          <w:iCs w:val="false"/>
          <w:color w:val="1B2430"/>
          <w:sz w:val="21"/>
          <w:szCs w:val="21"/>
        </w:rPr>
        <w:t xml:space="preserve"> —por ejemplo, cambiar el fondo rojo de un letrero a verde— de modo que sea evidente qué región fue detectada.</w:t>
      </w:r>
    </w:p>
    <w:p>
      <w:pPr>
        <w:spacing w:after="120" w:line="276"/>
        <w:jc w:val="both"/>
      </w:pPr>
      <w:r>
        <w:rPr>
          <w:b w:val="false"/>
          <w:bCs w:val="false"/>
          <w:i w:val="false"/>
          <w:iCs w:val="false"/>
          <w:color w:val="1B2430"/>
          <w:sz w:val="21"/>
          <w:szCs w:val="21"/>
        </w:rPr>
        <w:t xml:space="preserve">A continuación repite la detección con el enfoque clásico en </w:t>
      </w:r>
      <w:r>
        <w:rPr>
          <w:b/>
          <w:bCs/>
          <w:i w:val="false"/>
          <w:iCs w:val="false"/>
          <w:color w:val="1B2430"/>
          <w:sz w:val="21"/>
          <w:szCs w:val="21"/>
        </w:rPr>
        <w:t xml:space="preserve">HSV</w:t>
      </w:r>
      <w:r>
        <w:rPr>
          <w:b w:val="false"/>
          <w:bCs w:val="false"/>
          <w:i w:val="false"/>
          <w:iCs w:val="false"/>
          <w:color w:val="1B2430"/>
          <w:sz w:val="21"/>
          <w:szCs w:val="21"/>
        </w:rPr>
        <w:t xml:space="preserve"> (umbral sobre el matiz) y compara ambos métodos en tres condiciones de iluminación: </w:t>
      </w:r>
      <w:r>
        <w:rPr>
          <w:b/>
          <w:bCs/>
          <w:i w:val="false"/>
          <w:iCs w:val="false"/>
          <w:color w:val="1B2430"/>
          <w:sz w:val="21"/>
          <w:szCs w:val="21"/>
        </w:rPr>
        <w:t xml:space="preserve">buena iluminación, atardecer/amanecer y noche</w:t>
      </w:r>
      <w:r>
        <w:rPr>
          <w:b w:val="false"/>
          <w:bCs w:val="false"/>
          <w:i w:val="false"/>
          <w:iCs w:val="false"/>
          <w:color w:val="1B2430"/>
          <w:sz w:val="21"/>
          <w:szCs w:val="21"/>
        </w:rPr>
        <w:t xml:space="preserve">. El propósito es evidenciar cuál se degrada menos ante los cambios de luz, que es exactamente el reto que enfrenta un sistema ADAS en operación real.</w:t>
      </w:r>
    </w:p>
    <w:p>
      <w:pPr>
        <w:spacing w:after="120" w:line="276"/>
        <w:jc w:val="both"/>
      </w:pPr>
      <w:r>
        <w:rPr>
          <w:b/>
          <w:bCs/>
          <w:color w:val="B87400"/>
          <w:sz w:val="21"/>
          <w:szCs w:val="21"/>
        </w:rPr>
        <w:t xml:space="preserve">Entregables. </w:t>
      </w:r>
      <w:r>
        <w:rPr>
          <w:b w:val="false"/>
          <w:bCs w:val="false"/>
          <w:i w:val="false"/>
          <w:iCs w:val="false"/>
          <w:color w:val="1B2430"/>
          <w:sz w:val="21"/>
          <w:szCs w:val="21"/>
        </w:rPr>
        <w:t xml:space="preserve">Máscaras y resultados de ambos métodos (CIELAB y HSV) en las tres condiciones de iluminación; imagen con la región detectada re-coloreada; y análisis comparativo de robustez, indicando en qué condiciones falla cada enfoque y por qué.</w:t>
      </w:r>
    </w:p>
    <w:p>
      <w:pPr>
        <w:pBdr>
          <w:bottom w:val="single" w:color="D0D8E0" w:sz="6" w:space="1"/>
        </w:pBdr>
        <w:spacing w:after="120" w:before="60"/>
      </w:pPr>
      <w:r>
        <w:rPr>
          <w:sz w:val="2"/>
          <w:szCs w:val="2"/>
        </w:rPr>
        <w:t xml:space="preserve"/>
      </w:r>
    </w:p>
    <w:p>
      <w:pPr>
        <w:pStyle w:val="Heading2"/>
        <w:spacing w:after="90" w:before="220"/>
      </w:pPr>
      <w:r>
        <w:rPr>
          <w:b/>
          <w:bCs/>
          <w:color w:val="B87400"/>
          <w:sz w:val="26"/>
          <w:szCs w:val="26"/>
        </w:rPr>
        <w:t xml:space="preserve">Perfil 4 — Análisis de YOLO en plataformas ARM</w:t>
      </w:r>
    </w:p>
    <w:p>
      <w:pPr>
        <w:spacing w:after="60" w:before="140"/>
      </w:pPr>
      <w:r>
        <w:rPr>
          <w:b/>
          <w:bCs/>
          <w:color w:val="1B2430"/>
          <w:sz w:val="22"/>
          <w:szCs w:val="22"/>
        </w:rPr>
        <w:t xml:space="preserve">Debayering: de RAW a RGB (práctica de programación)</w:t>
      </w:r>
    </w:p>
    <w:p>
      <w:pPr>
        <w:spacing w:after="120" w:line="276"/>
        <w:jc w:val="both"/>
      </w:pPr>
      <w:r>
        <w:rPr>
          <w:b w:val="false"/>
          <w:bCs w:val="false"/>
          <w:i w:val="false"/>
          <w:iCs w:val="false"/>
          <w:color w:val="1B2430"/>
          <w:sz w:val="21"/>
          <w:szCs w:val="21"/>
        </w:rPr>
        <w:t xml:space="preserve">Práctica centrada en la programación de bajo nivel del inicio del pipeline de visión. El alumno parte de una imagen </w:t>
      </w:r>
      <w:r>
        <w:rPr>
          <w:b/>
          <w:bCs/>
          <w:i w:val="false"/>
          <w:iCs w:val="false"/>
          <w:color w:val="1B2430"/>
          <w:sz w:val="21"/>
          <w:szCs w:val="21"/>
        </w:rPr>
        <w:t xml:space="preserve">RAW real de cámara</w:t>
      </w:r>
      <w:r>
        <w:rPr>
          <w:b w:val="false"/>
          <w:bCs w:val="false"/>
          <w:i w:val="false"/>
          <w:iCs w:val="false"/>
          <w:color w:val="1B2430"/>
          <w:sz w:val="21"/>
          <w:szCs w:val="21"/>
        </w:rPr>
        <w:t xml:space="preserve"> (formato .DNG, .CR2, .NEF o similar), que conserva el patrón de mosaico de Bayer nativo del sensor, e implementa la reconstrucción a RGB. El flujo es: extraer el plano crudo del archivo RAW (por ejemplo, el arreglo </w:t>
      </w:r>
      <w:r>
        <w:rPr>
          <w:b w:val="false"/>
          <w:bCs w:val="false"/>
          <w:i/>
          <w:iCs/>
          <w:color w:val="1B2430"/>
          <w:sz w:val="21"/>
          <w:szCs w:val="21"/>
        </w:rPr>
        <w:t xml:space="preserve">raw_image</w:t>
      </w:r>
      <w:r>
        <w:rPr>
          <w:b w:val="false"/>
          <w:bCs w:val="false"/>
          <w:i w:val="false"/>
          <w:iCs w:val="false"/>
          <w:color w:val="1B2430"/>
          <w:sz w:val="21"/>
          <w:szCs w:val="21"/>
        </w:rPr>
        <w:t xml:space="preserve"> que expone rawpy/LibRaw), identificar el patrón de Bayer (RGGB, BGGR, GRBG o GBRG), e interpolar los canales R, G y B faltantes en cada píxel —como mínimo con interpolación bilineal por canal— para producir la imagen a color.</w:t>
      </w:r>
    </w:p>
    <w:p>
      <w:pPr>
        <w:spacing w:after="120" w:line="276"/>
        <w:jc w:val="both"/>
      </w:pPr>
      <w:r>
        <w:rPr>
          <w:b w:val="false"/>
          <w:bCs w:val="false"/>
          <w:i w:val="false"/>
          <w:iCs w:val="false"/>
          <w:color w:val="1B2430"/>
          <w:sz w:val="21"/>
          <w:szCs w:val="21"/>
        </w:rPr>
        <w:t xml:space="preserve">Como no se dispone de un ground truth exacto (la imagen nunca existió en RGB completo), la evaluación es comparativa: el alumno contrasta su reconstrucción contra la salida de una librería madura (rawpy/LibRaw o dcraw) y analiza cualitativamente los </w:t>
      </w:r>
      <w:r>
        <w:rPr>
          <w:b/>
          <w:bCs/>
          <w:i w:val="false"/>
          <w:iCs w:val="false"/>
          <w:color w:val="1B2430"/>
          <w:sz w:val="21"/>
          <w:szCs w:val="21"/>
        </w:rPr>
        <w:t xml:space="preserve">artefactos típicos del demosaicing</w:t>
      </w:r>
      <w:r>
        <w:rPr>
          <w:b w:val="false"/>
          <w:bCs w:val="false"/>
          <w:i w:val="false"/>
          <w:iCs w:val="false"/>
          <w:color w:val="1B2430"/>
          <w:sz w:val="21"/>
          <w:szCs w:val="21"/>
        </w:rPr>
        <w:t xml:space="preserve">: efecto cremallera (zipper) y falso color en los bordes de alto contraste. La práctica conecta con su tesis porque el debayering es el primer paso del pipeline embebido y su costo es medible en la plataforma ARM objetivo.</w:t>
      </w:r>
    </w:p>
    <w:p>
      <w:pPr>
        <w:spacing w:after="120" w:line="276"/>
        <w:jc w:val="both"/>
      </w:pPr>
      <w:r>
        <w:rPr>
          <w:b/>
          <w:bCs/>
          <w:color w:val="B87400"/>
          <w:sz w:val="21"/>
          <w:szCs w:val="21"/>
        </w:rPr>
        <w:t xml:space="preserve">Entregables. </w:t>
      </w:r>
      <w:r>
        <w:rPr>
          <w:b w:val="false"/>
          <w:bCs w:val="false"/>
          <w:i w:val="false"/>
          <w:iCs w:val="false"/>
          <w:color w:val="1B2430"/>
          <w:sz w:val="21"/>
          <w:szCs w:val="21"/>
        </w:rPr>
        <w:t xml:space="preserve">Código de la reconstrucción; imagen RAW de origen y resultado RGB; comparación visual contra la salida de la librería de referencia; y discusión de los artefactos observados y del costo computacional del paso.</w:t>
      </w:r>
    </w:p>
    <w:p>
      <w:pPr>
        <w:spacing w:after="120" w:line="276"/>
        <w:jc w:val="both"/>
      </w:pPr>
      <w:r>
        <w:rPr>
          <w:b/>
          <w:bCs/>
          <w:color w:val="B87400"/>
          <w:sz w:val="21"/>
          <w:szCs w:val="21"/>
        </w:rPr>
        <w:t xml:space="preserve">Recurso sugerido. </w:t>
      </w:r>
      <w:r>
        <w:rPr>
          <w:b w:val="false"/>
          <w:bCs w:val="false"/>
          <w:i w:val="false"/>
          <w:iCs w:val="false"/>
          <w:color w:val="1B2430"/>
          <w:sz w:val="21"/>
          <w:szCs w:val="21"/>
        </w:rPr>
        <w:t xml:space="preserve">Para obtener imágenes RAW: cualquier archivo .DNG/.CR2/.NEF propio o de bancos de RAW libres. Para validar el algoritmo con referencia, alternativamente pueden usarse los conjuntos clásicos </w:t>
      </w:r>
      <w:r>
        <w:rPr>
          <w:b/>
          <w:bCs/>
          <w:i w:val="false"/>
          <w:iCs w:val="false"/>
          <w:color w:val="1B2430"/>
          <w:sz w:val="21"/>
          <w:szCs w:val="21"/>
        </w:rPr>
        <w:t xml:space="preserve">Kodak</w:t>
      </w:r>
      <w:r>
        <w:rPr>
          <w:b w:val="false"/>
          <w:bCs w:val="false"/>
          <w:i w:val="false"/>
          <w:iCs w:val="false"/>
          <w:color w:val="1B2430"/>
          <w:sz w:val="21"/>
          <w:szCs w:val="21"/>
        </w:rPr>
        <w:t xml:space="preserve"> y </w:t>
      </w:r>
      <w:r>
        <w:rPr>
          <w:b/>
          <w:bCs/>
          <w:i w:val="false"/>
          <w:iCs w:val="false"/>
          <w:color w:val="1B2430"/>
          <w:sz w:val="21"/>
          <w:szCs w:val="21"/>
        </w:rPr>
        <w:t xml:space="preserve">McMaster</w:t>
      </w:r>
      <w:r>
        <w:rPr>
          <w:b w:val="false"/>
          <w:bCs w:val="false"/>
          <w:i w:val="false"/>
          <w:iCs w:val="false"/>
          <w:color w:val="1B2430"/>
          <w:sz w:val="21"/>
          <w:szCs w:val="21"/>
        </w:rPr>
        <w:t xml:space="preserve">, mosaicándolos sintéticamente al patrón Bayer para disponer de un ground truth y medir PSNR/SSIM.</w:t>
      </w:r>
    </w:p>
    <w:p>
      <w:r>
        <w:br w:type="page"/>
      </w:r>
    </w:p>
    <w:p>
      <w:pPr>
        <w:pStyle w:val="Heading1"/>
        <w:spacing w:after="120" w:before="240"/>
      </w:pPr>
      <w:r>
        <w:rPr>
          <w:b/>
          <w:bCs/>
          <w:color w:val="1B2430"/>
          <w:sz w:val="32"/>
          <w:szCs w:val="32"/>
        </w:rPr>
        <w:t xml:space="preserve">Rúbrica de evaluación (común a las cuatro actividades)</w:t>
      </w:r>
    </w:p>
    <w:p>
      <w:pPr>
        <w:spacing w:after="120" w:line="276"/>
        <w:jc w:val="both"/>
      </w:pPr>
      <w:r>
        <w:rPr>
          <w:b w:val="false"/>
          <w:bCs w:val="false"/>
          <w:i w:val="false"/>
          <w:iCs w:val="false"/>
          <w:color w:val="1B2430"/>
          <w:sz w:val="21"/>
          <w:szCs w:val="21"/>
        </w:rPr>
        <w:t xml:space="preserve">Cada actividad se califica con los mismos cinco criterios. La escala por criterio es de 0 a 4; la calificación final pondera cada criterio según su peso. El </w:t>
      </w:r>
      <w:r>
        <w:rPr>
          <w:b/>
          <w:bCs/>
          <w:i w:val="false"/>
          <w:iCs w:val="false"/>
          <w:color w:val="1B2430"/>
          <w:sz w:val="21"/>
          <w:szCs w:val="21"/>
        </w:rPr>
        <w:t xml:space="preserve">nivel Suficiente</w:t>
      </w:r>
      <w:r>
        <w:rPr>
          <w:b w:val="false"/>
          <w:bCs w:val="false"/>
          <w:i w:val="false"/>
          <w:iCs w:val="false"/>
          <w:color w:val="1B2430"/>
          <w:sz w:val="21"/>
          <w:szCs w:val="21"/>
        </w:rPr>
        <w:t xml:space="preserve"> corresponde a un desempeño aceptable con áreas de mejora; el </w:t>
      </w:r>
      <w:r>
        <w:rPr>
          <w:b/>
          <w:bCs/>
          <w:i w:val="false"/>
          <w:iCs w:val="false"/>
          <w:color w:val="1B2430"/>
          <w:sz w:val="21"/>
          <w:szCs w:val="21"/>
        </w:rPr>
        <w:t xml:space="preserve">nivel Excelente</w:t>
      </w:r>
      <w:r>
        <w:rPr>
          <w:b w:val="false"/>
          <w:bCs w:val="false"/>
          <w:i w:val="false"/>
          <w:iCs w:val="false"/>
          <w:color w:val="1B2430"/>
          <w:sz w:val="21"/>
          <w:szCs w:val="21"/>
        </w:rPr>
        <w:t xml:space="preserve">, a un trabajo completo, correcto y bien argumentado.</w:t>
      </w:r>
    </w:p>
    <w:p>
      <w:pPr>
        <w:spacing w:after="80"/>
      </w:pPr>
      <w:r>
        <w:rPr>
          <w:sz w:val="2"/>
          <w:szCs w:val="2"/>
        </w:rPr>
        <w:t xml:space="preserve"/>
      </w:r>
    </w:p>
    <w:tbl>
      <w:tblPr>
        <w:tblW w:type="dxa" w:w="10240"/>
        <w:tblBorders>
          <w:top w:val="single" w:color="C4CDD6" w:sz="4"/>
          <w:left w:val="single" w:color="C4CDD6" w:sz="4"/>
          <w:bottom w:val="single" w:color="C4CDD6" w:sz="4"/>
          <w:right w:val="single" w:color="C4CDD6" w:sz="4"/>
          <w:insideH w:val="single" w:color="D8DFE6" w:sz="4"/>
          <w:insideV w:val="single" w:color="D8DFE6" w:sz="4"/>
        </w:tblBorders>
      </w:tblPr>
      <w:tblGrid>
        <w:gridCol w:w="2450"/>
        <w:gridCol w:w="2130"/>
        <w:gridCol w:w="2130"/>
        <w:gridCol w:w="2130"/>
        <w:gridCol w:w="1400"/>
      </w:tblGrid>
      <w:tr>
        <w:trPr>
          <w:tblHeader/>
        </w:trPr>
        <w:tc>
          <w:tcPr>
            <w:tcW w:type="dxa" w:w="2450"/>
            <w:shd w:fill="1B2430" w:color="auto" w:val="clear"/>
            <w:tcMar>
              <w:top w:type="dxa" w:w="60"/>
              <w:left w:type="dxa" w:w="90"/>
              <w:bottom w:type="dxa" w:w="60"/>
              <w:right w:type="dxa" w:w="90"/>
            </w:tcMar>
          </w:tcPr>
          <w:p>
            <w:pPr>
              <w:spacing w:after="0" w:line="250"/>
              <w:jc w:val="left"/>
            </w:pPr>
            <w:r>
              <w:rPr>
                <w:b/>
                <w:bCs/>
                <w:color w:val="FFFFFF"/>
                <w:sz w:val="19"/>
                <w:szCs w:val="19"/>
              </w:rPr>
              <w:t xml:space="preserve">Criterio</w:t>
            </w:r>
          </w:p>
        </w:tc>
        <w:tc>
          <w:tcPr>
            <w:tcW w:type="dxa" w:w="2130"/>
            <w:shd w:fill="1B2430" w:color="auto" w:val="clear"/>
            <w:tcMar>
              <w:top w:type="dxa" w:w="60"/>
              <w:left w:type="dxa" w:w="90"/>
              <w:bottom w:type="dxa" w:w="60"/>
              <w:right w:type="dxa" w:w="90"/>
            </w:tcMar>
          </w:tcPr>
          <w:p>
            <w:pPr>
              <w:spacing w:after="0" w:line="250"/>
              <w:jc w:val="left"/>
            </w:pPr>
            <w:r>
              <w:rPr>
                <w:b/>
                <w:bCs/>
                <w:color w:val="FFFFFF"/>
                <w:sz w:val="19"/>
                <w:szCs w:val="19"/>
              </w:rPr>
              <w:t xml:space="preserve">Excelente (4)</w:t>
            </w:r>
          </w:p>
        </w:tc>
        <w:tc>
          <w:tcPr>
            <w:tcW w:type="dxa" w:w="2130"/>
            <w:shd w:fill="1B2430" w:color="auto" w:val="clear"/>
            <w:tcMar>
              <w:top w:type="dxa" w:w="60"/>
              <w:left w:type="dxa" w:w="90"/>
              <w:bottom w:type="dxa" w:w="60"/>
              <w:right w:type="dxa" w:w="90"/>
            </w:tcMar>
          </w:tcPr>
          <w:p>
            <w:pPr>
              <w:spacing w:after="0" w:line="250"/>
              <w:jc w:val="left"/>
            </w:pPr>
            <w:r>
              <w:rPr>
                <w:b/>
                <w:bCs/>
                <w:color w:val="FFFFFF"/>
                <w:sz w:val="19"/>
                <w:szCs w:val="19"/>
              </w:rPr>
              <w:t xml:space="preserve">Suficiente (2-3)</w:t>
            </w:r>
          </w:p>
        </w:tc>
        <w:tc>
          <w:tcPr>
            <w:tcW w:type="dxa" w:w="2130"/>
            <w:shd w:fill="1B2430" w:color="auto" w:val="clear"/>
            <w:tcMar>
              <w:top w:type="dxa" w:w="60"/>
              <w:left w:type="dxa" w:w="90"/>
              <w:bottom w:type="dxa" w:w="60"/>
              <w:right w:type="dxa" w:w="90"/>
            </w:tcMar>
          </w:tcPr>
          <w:p>
            <w:pPr>
              <w:spacing w:after="0" w:line="250"/>
              <w:jc w:val="left"/>
            </w:pPr>
            <w:r>
              <w:rPr>
                <w:b/>
                <w:bCs/>
                <w:color w:val="FFFFFF"/>
                <w:sz w:val="19"/>
                <w:szCs w:val="19"/>
              </w:rPr>
              <w:t xml:space="preserve">Insuficiente (0-1)</w:t>
            </w:r>
          </w:p>
        </w:tc>
        <w:tc>
          <w:tcPr>
            <w:tcW w:type="dxa" w:w="1400"/>
            <w:shd w:fill="1B2430" w:color="auto" w:val="clear"/>
            <w:tcMar>
              <w:top w:type="dxa" w:w="60"/>
              <w:left w:type="dxa" w:w="90"/>
              <w:bottom w:type="dxa" w:w="60"/>
              <w:right w:type="dxa" w:w="90"/>
            </w:tcMar>
          </w:tcPr>
          <w:p>
            <w:pPr>
              <w:spacing w:after="0" w:line="250"/>
              <w:jc w:val="center"/>
            </w:pPr>
            <w:r>
              <w:rPr>
                <w:b/>
                <w:bCs/>
                <w:color w:val="FFFFFF"/>
                <w:sz w:val="19"/>
                <w:szCs w:val="19"/>
              </w:rPr>
              <w:t xml:space="preserve">Peso</w:t>
            </w:r>
          </w:p>
        </w:tc>
      </w:tr>
      <w:tr>
        <w:tc>
          <w:tcPr>
            <w:tcW w:type="dxa" w:w="2450"/>
            <w:shd w:fill="F4F7FA" w:color="auto" w:val="clear"/>
            <w:tcMar>
              <w:top w:type="dxa" w:w="60"/>
              <w:left w:type="dxa" w:w="90"/>
              <w:bottom w:type="dxa" w:w="60"/>
              <w:right w:type="dxa" w:w="90"/>
            </w:tcMar>
          </w:tcPr>
          <w:p>
            <w:pPr>
              <w:spacing w:after="0" w:line="250"/>
              <w:jc w:val="left"/>
            </w:pPr>
            <w:r>
              <w:rPr>
                <w:b/>
                <w:bCs/>
                <w:color w:val="1B2430"/>
                <w:sz w:val="18"/>
                <w:szCs w:val="18"/>
              </w:rPr>
              <w:t xml:space="preserve">Corrección técnica</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La técnica del perfil se implementa correctamente y produce el resultado esperado sin errores.</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Se implementa con errores menores o resultados parcialmente correctos.</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No se implementa o el resultado es incorrecto.</w:t>
            </w:r>
          </w:p>
        </w:tc>
        <w:tc>
          <w:tcPr>
            <w:tcW w:type="dxa" w:w="1400"/>
            <w:tcMar>
              <w:top w:type="dxa" w:w="60"/>
              <w:left w:type="dxa" w:w="90"/>
              <w:bottom w:type="dxa" w:w="60"/>
              <w:right w:type="dxa" w:w="90"/>
            </w:tcMar>
          </w:tcPr>
          <w:p>
            <w:pPr>
              <w:spacing w:after="0" w:line="250"/>
              <w:jc w:val="center"/>
            </w:pPr>
            <w:r>
              <w:rPr>
                <w:b/>
                <w:bCs/>
                <w:color w:val="1B2430"/>
                <w:sz w:val="18"/>
                <w:szCs w:val="18"/>
              </w:rPr>
              <w:t xml:space="preserve">30%</w:t>
            </w:r>
          </w:p>
        </w:tc>
      </w:tr>
      <w:tr>
        <w:tc>
          <w:tcPr>
            <w:tcW w:type="dxa" w:w="2450"/>
            <w:shd w:fill="FBFCFE" w:color="auto" w:val="clear"/>
            <w:tcMar>
              <w:top w:type="dxa" w:w="60"/>
              <w:left w:type="dxa" w:w="90"/>
              <w:bottom w:type="dxa" w:w="60"/>
              <w:right w:type="dxa" w:w="90"/>
            </w:tcMar>
          </w:tcPr>
          <w:p>
            <w:pPr>
              <w:spacing w:after="0" w:line="250"/>
              <w:jc w:val="left"/>
            </w:pPr>
            <w:r>
              <w:rPr>
                <w:b/>
                <w:bCs/>
                <w:color w:val="1B2430"/>
                <w:sz w:val="18"/>
                <w:szCs w:val="18"/>
              </w:rPr>
              <w:t xml:space="preserve">Dominio conceptual</w:t>
            </w:r>
          </w:p>
        </w:tc>
        <w:tc>
          <w:tcPr>
            <w:tcW w:type="dxa" w:w="2130"/>
            <w:shd w:fill="FBFCFE" w:color="auto" w:val="clear"/>
            <w:tcMar>
              <w:top w:type="dxa" w:w="60"/>
              <w:left w:type="dxa" w:w="90"/>
              <w:bottom w:type="dxa" w:w="60"/>
              <w:right w:type="dxa" w:w="90"/>
            </w:tcMar>
          </w:tcPr>
          <w:p>
            <w:pPr>
              <w:spacing w:after="0" w:line="250"/>
              <w:jc w:val="left"/>
            </w:pPr>
            <w:r>
              <w:rPr>
                <w:b w:val="false"/>
                <w:bCs w:val="false"/>
                <w:color w:val="1B2430"/>
                <w:sz w:val="18"/>
                <w:szCs w:val="18"/>
              </w:rPr>
              <w:t xml:space="preserve">Explica con precisión los fundamentos (espacio de color / técnica) y por qué aplican a su dominio.</w:t>
            </w:r>
          </w:p>
        </w:tc>
        <w:tc>
          <w:tcPr>
            <w:tcW w:type="dxa" w:w="2130"/>
            <w:shd w:fill="FBFCFE" w:color="auto" w:val="clear"/>
            <w:tcMar>
              <w:top w:type="dxa" w:w="60"/>
              <w:left w:type="dxa" w:w="90"/>
              <w:bottom w:type="dxa" w:w="60"/>
              <w:right w:type="dxa" w:w="90"/>
            </w:tcMar>
          </w:tcPr>
          <w:p>
            <w:pPr>
              <w:spacing w:after="0" w:line="250"/>
              <w:jc w:val="left"/>
            </w:pPr>
            <w:r>
              <w:rPr>
                <w:b w:val="false"/>
                <w:bCs w:val="false"/>
                <w:color w:val="1B2430"/>
                <w:sz w:val="18"/>
                <w:szCs w:val="18"/>
              </w:rPr>
              <w:t xml:space="preserve">Explica de forma general, con imprecisiones o sin conectar con el dominio.</w:t>
            </w:r>
          </w:p>
        </w:tc>
        <w:tc>
          <w:tcPr>
            <w:tcW w:type="dxa" w:w="2130"/>
            <w:shd w:fill="FBFCFE" w:color="auto" w:val="clear"/>
            <w:tcMar>
              <w:top w:type="dxa" w:w="60"/>
              <w:left w:type="dxa" w:w="90"/>
              <w:bottom w:type="dxa" w:w="60"/>
              <w:right w:type="dxa" w:w="90"/>
            </w:tcMar>
          </w:tcPr>
          <w:p>
            <w:pPr>
              <w:spacing w:after="0" w:line="250"/>
              <w:jc w:val="left"/>
            </w:pPr>
            <w:r>
              <w:rPr>
                <w:b w:val="false"/>
                <w:bCs w:val="false"/>
                <w:color w:val="1B2430"/>
                <w:sz w:val="18"/>
                <w:szCs w:val="18"/>
              </w:rPr>
              <w:t xml:space="preserve">No explica o los conceptos son erróneos.</w:t>
            </w:r>
          </w:p>
        </w:tc>
        <w:tc>
          <w:tcPr>
            <w:tcW w:type="dxa" w:w="1400"/>
            <w:shd w:fill="FBFCFE" w:color="auto" w:val="clear"/>
            <w:tcMar>
              <w:top w:type="dxa" w:w="60"/>
              <w:left w:type="dxa" w:w="90"/>
              <w:bottom w:type="dxa" w:w="60"/>
              <w:right w:type="dxa" w:w="90"/>
            </w:tcMar>
          </w:tcPr>
          <w:p>
            <w:pPr>
              <w:spacing w:after="0" w:line="250"/>
              <w:jc w:val="center"/>
            </w:pPr>
            <w:r>
              <w:rPr>
                <w:b/>
                <w:bCs/>
                <w:color w:val="1B2430"/>
                <w:sz w:val="18"/>
                <w:szCs w:val="18"/>
              </w:rPr>
              <w:t xml:space="preserve">25%</w:t>
            </w:r>
          </w:p>
        </w:tc>
      </w:tr>
      <w:tr>
        <w:tc>
          <w:tcPr>
            <w:tcW w:type="dxa" w:w="2450"/>
            <w:shd w:fill="F4F7FA" w:color="auto" w:val="clear"/>
            <w:tcMar>
              <w:top w:type="dxa" w:w="60"/>
              <w:left w:type="dxa" w:w="90"/>
              <w:bottom w:type="dxa" w:w="60"/>
              <w:right w:type="dxa" w:w="90"/>
            </w:tcMar>
          </w:tcPr>
          <w:p>
            <w:pPr>
              <w:spacing w:after="0" w:line="250"/>
              <w:jc w:val="left"/>
            </w:pPr>
            <w:r>
              <w:rPr>
                <w:b/>
                <w:bCs/>
                <w:color w:val="1B2430"/>
                <w:sz w:val="18"/>
                <w:szCs w:val="18"/>
              </w:rPr>
              <w:t xml:space="preserve">Análisis y comparación</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Compara alternativas o condiciones con evidencia (métricas, tiempos o visuales) y extrae conclusiones válidas.</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Presenta comparación superficial o sin conclusiones claras.</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No hay comparación ni análisis.</w:t>
            </w:r>
          </w:p>
        </w:tc>
        <w:tc>
          <w:tcPr>
            <w:tcW w:type="dxa" w:w="1400"/>
            <w:tcMar>
              <w:top w:type="dxa" w:w="60"/>
              <w:left w:type="dxa" w:w="90"/>
              <w:bottom w:type="dxa" w:w="60"/>
              <w:right w:type="dxa" w:w="90"/>
            </w:tcMar>
          </w:tcPr>
          <w:p>
            <w:pPr>
              <w:spacing w:after="0" w:line="250"/>
              <w:jc w:val="center"/>
            </w:pPr>
            <w:r>
              <w:rPr>
                <w:b/>
                <w:bCs/>
                <w:color w:val="1B2430"/>
                <w:sz w:val="18"/>
                <w:szCs w:val="18"/>
              </w:rPr>
              <w:t xml:space="preserve">20%</w:t>
            </w:r>
          </w:p>
        </w:tc>
      </w:tr>
      <w:tr>
        <w:tc>
          <w:tcPr>
            <w:tcW w:type="dxa" w:w="2450"/>
            <w:shd w:fill="FBFCFE" w:color="auto" w:val="clear"/>
            <w:tcMar>
              <w:top w:type="dxa" w:w="60"/>
              <w:left w:type="dxa" w:w="90"/>
              <w:bottom w:type="dxa" w:w="60"/>
              <w:right w:type="dxa" w:w="90"/>
            </w:tcMar>
          </w:tcPr>
          <w:p>
            <w:pPr>
              <w:spacing w:after="0" w:line="250"/>
              <w:jc w:val="left"/>
            </w:pPr>
            <w:r>
              <w:rPr>
                <w:b/>
                <w:bCs/>
                <w:color w:val="1B2430"/>
                <w:sz w:val="18"/>
                <w:szCs w:val="18"/>
              </w:rPr>
              <w:t xml:space="preserve">Evidencia y visualizaciones</w:t>
            </w:r>
          </w:p>
        </w:tc>
        <w:tc>
          <w:tcPr>
            <w:tcW w:type="dxa" w:w="2130"/>
            <w:shd w:fill="FBFCFE" w:color="auto" w:val="clear"/>
            <w:tcMar>
              <w:top w:type="dxa" w:w="60"/>
              <w:left w:type="dxa" w:w="90"/>
              <w:bottom w:type="dxa" w:w="60"/>
              <w:right w:type="dxa" w:w="90"/>
            </w:tcMar>
          </w:tcPr>
          <w:p>
            <w:pPr>
              <w:spacing w:after="0" w:line="250"/>
              <w:jc w:val="left"/>
            </w:pPr>
            <w:r>
              <w:rPr>
                <w:b w:val="false"/>
                <w:bCs w:val="false"/>
                <w:color w:val="1B2430"/>
                <w:sz w:val="18"/>
                <w:szCs w:val="18"/>
              </w:rPr>
              <w:t xml:space="preserve">Entrega visualizaciones claras y rotuladas que sustentan cada afirmación.</w:t>
            </w:r>
          </w:p>
        </w:tc>
        <w:tc>
          <w:tcPr>
            <w:tcW w:type="dxa" w:w="2130"/>
            <w:shd w:fill="FBFCFE" w:color="auto" w:val="clear"/>
            <w:tcMar>
              <w:top w:type="dxa" w:w="60"/>
              <w:left w:type="dxa" w:w="90"/>
              <w:bottom w:type="dxa" w:w="60"/>
              <w:right w:type="dxa" w:w="90"/>
            </w:tcMar>
          </w:tcPr>
          <w:p>
            <w:pPr>
              <w:spacing w:after="0" w:line="250"/>
              <w:jc w:val="left"/>
            </w:pPr>
            <w:r>
              <w:rPr>
                <w:b w:val="false"/>
                <w:bCs w:val="false"/>
                <w:color w:val="1B2430"/>
                <w:sz w:val="18"/>
                <w:szCs w:val="18"/>
              </w:rPr>
              <w:t xml:space="preserve">Entrega evidencia incompleta o poco clara.</w:t>
            </w:r>
          </w:p>
        </w:tc>
        <w:tc>
          <w:tcPr>
            <w:tcW w:type="dxa" w:w="2130"/>
            <w:shd w:fill="FBFCFE" w:color="auto" w:val="clear"/>
            <w:tcMar>
              <w:top w:type="dxa" w:w="60"/>
              <w:left w:type="dxa" w:w="90"/>
              <w:bottom w:type="dxa" w:w="60"/>
              <w:right w:type="dxa" w:w="90"/>
            </w:tcMar>
          </w:tcPr>
          <w:p>
            <w:pPr>
              <w:spacing w:after="0" w:line="250"/>
              <w:jc w:val="left"/>
            </w:pPr>
            <w:r>
              <w:rPr>
                <w:b w:val="false"/>
                <w:bCs w:val="false"/>
                <w:color w:val="1B2430"/>
                <w:sz w:val="18"/>
                <w:szCs w:val="18"/>
              </w:rPr>
              <w:t xml:space="preserve">Evidencia ausente o ilegible.</w:t>
            </w:r>
          </w:p>
        </w:tc>
        <w:tc>
          <w:tcPr>
            <w:tcW w:type="dxa" w:w="1400"/>
            <w:shd w:fill="FBFCFE" w:color="auto" w:val="clear"/>
            <w:tcMar>
              <w:top w:type="dxa" w:w="60"/>
              <w:left w:type="dxa" w:w="90"/>
              <w:bottom w:type="dxa" w:w="60"/>
              <w:right w:type="dxa" w:w="90"/>
            </w:tcMar>
          </w:tcPr>
          <w:p>
            <w:pPr>
              <w:spacing w:after="0" w:line="250"/>
              <w:jc w:val="center"/>
            </w:pPr>
            <w:r>
              <w:rPr>
                <w:b/>
                <w:bCs/>
                <w:color w:val="1B2430"/>
                <w:sz w:val="18"/>
                <w:szCs w:val="18"/>
              </w:rPr>
              <w:t xml:space="preserve">15%</w:t>
            </w:r>
          </w:p>
        </w:tc>
      </w:tr>
      <w:tr>
        <w:tc>
          <w:tcPr>
            <w:tcW w:type="dxa" w:w="2450"/>
            <w:shd w:fill="F4F7FA" w:color="auto" w:val="clear"/>
            <w:tcMar>
              <w:top w:type="dxa" w:w="60"/>
              <w:left w:type="dxa" w:w="90"/>
              <w:bottom w:type="dxa" w:w="60"/>
              <w:right w:type="dxa" w:w="90"/>
            </w:tcMar>
          </w:tcPr>
          <w:p>
            <w:pPr>
              <w:spacing w:after="0" w:line="250"/>
              <w:jc w:val="left"/>
            </w:pPr>
            <w:r>
              <w:rPr>
                <w:b/>
                <w:bCs/>
                <w:color w:val="1B2430"/>
                <w:sz w:val="18"/>
                <w:szCs w:val="18"/>
              </w:rPr>
              <w:t xml:space="preserve">Reporte y reproducibilidad</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Reporte ordenado; el trabajo puede reproducirse (código/entorno documentado).</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Reporte comprensible pero difícil de reproducir.</w:t>
            </w:r>
          </w:p>
        </w:tc>
        <w:tc>
          <w:tcPr>
            <w:tcW w:type="dxa" w:w="2130"/>
            <w:tcMar>
              <w:top w:type="dxa" w:w="60"/>
              <w:left w:type="dxa" w:w="90"/>
              <w:bottom w:type="dxa" w:w="60"/>
              <w:right w:type="dxa" w:w="90"/>
            </w:tcMar>
          </w:tcPr>
          <w:p>
            <w:pPr>
              <w:spacing w:after="0" w:line="250"/>
              <w:jc w:val="left"/>
            </w:pPr>
            <w:r>
              <w:rPr>
                <w:b w:val="false"/>
                <w:bCs w:val="false"/>
                <w:color w:val="1B2430"/>
                <w:sz w:val="18"/>
                <w:szCs w:val="18"/>
              </w:rPr>
              <w:t xml:space="preserve">Reporte desordenado o no reproducible.</w:t>
            </w:r>
          </w:p>
        </w:tc>
        <w:tc>
          <w:tcPr>
            <w:tcW w:type="dxa" w:w="1400"/>
            <w:tcMar>
              <w:top w:type="dxa" w:w="60"/>
              <w:left w:type="dxa" w:w="90"/>
              <w:bottom w:type="dxa" w:w="60"/>
              <w:right w:type="dxa" w:w="90"/>
            </w:tcMar>
          </w:tcPr>
          <w:p>
            <w:pPr>
              <w:spacing w:after="0" w:line="250"/>
              <w:jc w:val="center"/>
            </w:pPr>
            <w:r>
              <w:rPr>
                <w:b/>
                <w:bCs/>
                <w:color w:val="1B2430"/>
                <w:sz w:val="18"/>
                <w:szCs w:val="18"/>
              </w:rPr>
              <w:t xml:space="preserve">10%</w:t>
            </w:r>
          </w:p>
        </w:tc>
      </w:tr>
    </w:tbl>
    <w:p>
      <w:pPr>
        <w:spacing w:before="180"/>
      </w:pPr>
      <w:r>
        <w:rPr>
          <w:b/>
          <w:bCs/>
          <w:i w:val="false"/>
          <w:iCs w:val="false"/>
          <w:color w:val="B87400"/>
          <w:sz w:val="21"/>
          <w:szCs w:val="21"/>
        </w:rPr>
        <w:t xml:space="preserve">Cálculo de la calificación: </w:t>
      </w:r>
      <w:r>
        <w:rPr>
          <w:b w:val="false"/>
          <w:bCs w:val="false"/>
          <w:i w:val="false"/>
          <w:iCs w:val="false"/>
          <w:color w:val="1B2430"/>
          <w:sz w:val="21"/>
          <w:szCs w:val="21"/>
        </w:rPr>
        <w:t xml:space="preserve">suma ponderada de los cinco criterios sobre la escala de 4, normalizada a la escala del curso. Un criterio en 0 indica ausencia total del componente; en 4, cumplimiento pleno del descriptor Excelente.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Sesión 1 - Espacios de color por perfil</dc:title>
  <dc:creator>ITQ - Visión Artificial</dc:creator>
  <cp:lastModifiedBy>Un-named</cp:lastModifiedBy>
  <cp:revision>1</cp:revision>
  <dcterms:created xsi:type="dcterms:W3CDTF">2026-08-17T21:17:01.670Z</dcterms:created>
  <dcterms:modified xsi:type="dcterms:W3CDTF">2026-08-17T21:17:01.710Z</dcterms:modified>
</cp:coreProperties>
</file>

<file path=docProps/custom.xml><?xml version="1.0" encoding="utf-8"?>
<Properties xmlns="http://schemas.openxmlformats.org/officeDocument/2006/custom-properties" xmlns:vt="http://schemas.openxmlformats.org/officeDocument/2006/docPropsVTypes"/>
</file>