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INSTITUTO TECNOLÓGICO DE QUERÉTARO · TecNM</w:t>
      </w:r>
    </w:p>
    <w:p>
      <w:pPr>
        <w:spacing w:after="120"/>
        <w:jc w:val="center"/>
      </w:pPr>
      <w:r>
        <w:rPr>
          <w:color w:val="555555"/>
          <w:sz w:val="22"/>
          <w:szCs w:val="22"/>
        </w:rPr>
        <w:t xml:space="preserve">Maestría · Visión Artificial</w:t>
      </w:r>
    </w:p>
    <w:p>
      <w:pPr>
        <w:spacing w:after="40"/>
        <w:jc w:val="center"/>
      </w:pPr>
      <w:r>
        <w:rPr>
          <w:b/>
          <w:bCs/>
          <w:sz w:val="28"/>
          <w:szCs w:val="28"/>
        </w:rPr>
        <w:t xml:space="preserve">Actividad — Sesión 4: Características locales (SIFT y la familia de descriptores)</w:t>
      </w:r>
    </w:p>
    <w:p>
      <w:pPr>
        <w:spacing w:after="160"/>
        <w:jc w:val="center"/>
      </w:pPr>
      <w:r>
        <w:rPr>
          <w:i/>
          <w:iCs/>
          <w:sz w:val="22"/>
          <w:szCs w:val="22"/>
        </w:rPr>
        <w:t xml:space="preserve">Dr. Víctor Alejandro González Huitrón</w:t>
      </w:r>
    </w:p>
    <w:p>
      <w:pPr>
        <w:spacing w:after="120"/>
        <w:jc w:val="both"/>
      </w:pPr>
      <w:r>
        <w:t xml:space="preserve">Cada alumno desarrolla la actividad correspondiente a su </w:t>
      </w:r>
      <w:r>
        <w:rPr>
          <w:b/>
          <w:bCs/>
        </w:rPr>
        <w:t xml:space="preserve">perfil de proyecto</w:t>
      </w:r>
      <w:r>
        <w:t xml:space="preserve">. Las cinco variantes parten de los fundamentos de la sesión 4 —</w:t>
      </w:r>
      <w:r>
        <w:rPr>
          <w:b/>
          <w:bCs/>
        </w:rPr>
        <w:t xml:space="preserve">la detección y descripción de características locales con SIFT y sus alternativas (ORB, SURF, BRISK, KAZE/AKAZE), y el emparejamiento (matching) de keypoints</w:t>
      </w:r>
      <w:r>
        <w:t xml:space="preserve">— pero se anclan al dominio de cada proyecto. El trabajo se realiza fuera del horario de clase y se revisa en la siguiente sesión. La evaluación usa una </w:t>
      </w:r>
      <w:r>
        <w:rPr>
          <w:b/>
          <w:bCs/>
        </w:rPr>
        <w:t xml:space="preserve">rúbrica común</w:t>
      </w:r>
      <w:r>
        <w:t xml:space="preserve"> (al final de este documento) para las cinco actividades.</w:t>
      </w:r>
    </w:p>
    <w:p>
      <w:pPr>
        <w:spacing w:after="120"/>
        <w:jc w:val="both"/>
      </w:pPr>
      <w:r>
        <w:rPr>
          <w:b/>
          <w:bCs/>
          <w:color w:val="9a6a00"/>
        </w:rPr>
        <w:t xml:space="preserve">Cambio importante respecto a sesiones previas: </w:t>
      </w:r>
      <w:r>
        <w:t xml:space="preserve">a partir de esta sesión </w:t>
      </w:r>
      <w:r>
        <w:rPr>
          <w:b/>
          <w:bCs/>
        </w:rPr>
        <w:t xml:space="preserve">no se pide implementar los algoritmos desde cero</w:t>
      </w:r>
      <w:r>
        <w:t xml:space="preserve">. Dada la complejidad de SIFT y de sus variantes, </w:t>
      </w:r>
      <w:r>
        <w:rPr>
          <w:b/>
          <w:bCs/>
        </w:rPr>
        <w:t xml:space="preserve">está permitido y es lo esperado usar la implementación de OpenCV</w:t>
      </w:r>
      <w:r>
        <w:t xml:space="preserve"> (o una biblioteca equivalente). El foco de la actividad se traslada al </w:t>
      </w:r>
      <w:r>
        <w:rPr>
          <w:b/>
          <w:bCs/>
        </w:rPr>
        <w:t xml:space="preserve">uso correcto, la comparación fundamentada y el análisis</w:t>
      </w:r>
      <w:r>
        <w:t xml:space="preserve">: elegir el detector/descriptor adecuado, medir su desempeño en el dominio propio y justificar la decisión.</w:t>
      </w:r>
    </w:p>
    <w:p>
      <w:pPr>
        <w:keepNext/>
        <w:spacing w:after="40" w:before="280"/>
      </w:pPr>
      <w:r>
        <w:rPr>
          <w:b/>
          <w:bCs/>
          <w:color w:val="9a6a00"/>
          <w:sz w:val="28"/>
          <w:szCs w:val="28"/>
        </w:rPr>
        <w:t xml:space="preserve">Perfil 1 — Red IoT para datos médicos (Raspberry Pi)</w:t>
      </w:r>
    </w:p>
    <w:p>
      <w:pPr>
        <w:keepNext/>
        <w:spacing w:after="120"/>
      </w:pPr>
      <w:r>
        <w:rPr>
          <w:b/>
          <w:bCs/>
          <w:i/>
          <w:iCs/>
          <w:color w:val="222222"/>
          <w:sz w:val="24"/>
          <w:szCs w:val="24"/>
        </w:rPr>
        <w:t xml:space="preserve">Descriptores ligeros y transmisión compacta de keypoints en el borde</w:t>
      </w:r>
    </w:p>
    <w:p>
      <w:pPr>
        <w:spacing w:after="120"/>
        <w:jc w:val="both"/>
      </w:pPr>
      <w:r>
        <w:t xml:space="preserve">El objetivo es evaluar qué detector/descriptor es viable en un </w:t>
      </w:r>
      <w:r>
        <w:rPr>
          <w:b/>
          <w:bCs/>
        </w:rPr>
        <w:t xml:space="preserve">dispositivo embebido con recursos limitados</w:t>
      </w:r>
      <w:r>
        <w:t xml:space="preserve"> y aprovechar los keypoints como una representación compacta que viaje por la red. En vez de transmitir la imagen completa, el nodo emisor (Raspberry Pi) detecta keypoints y envía únicamente sus </w:t>
      </w:r>
      <w:r>
        <w:rPr>
          <w:b/>
          <w:bCs/>
        </w:rPr>
        <w:t xml:space="preserve">descriptores</w:t>
      </w:r>
      <w:r>
        <w:t xml:space="preserve"> (y posiciones), que el receptor usa para reconocer o alinear la escena.</w:t>
      </w:r>
    </w:p>
    <w:p>
      <w:pPr>
        <w:spacing w:after="120"/>
        <w:jc w:val="both"/>
      </w:pPr>
      <w:r>
        <w:t xml:space="preserve">El alumno implementa, usando OpenCV, el siguiente pipeline en el nodo emisor:</w:t>
      </w:r>
    </w:p>
    <w:p>
      <w:pPr>
        <w:spacing w:after="60"/>
        <w:ind w:left="360"/>
        <w:jc w:val="both"/>
      </w:pPr>
      <w:r>
        <w:rPr>
          <w:b/>
          <w:bCs/>
          <w:color w:val="B8860B"/>
        </w:rPr>
        <w:t xml:space="preserve">1.  </w:t>
      </w:r>
      <w:r>
        <w:t xml:space="preserve">carga en escala de grises y, si aplica, realce previo (CLAHE);</w:t>
      </w:r>
    </w:p>
    <w:p>
      <w:pPr>
        <w:spacing w:after="60"/>
        <w:ind w:left="360"/>
        <w:jc w:val="both"/>
      </w:pPr>
      <w:r>
        <w:rPr>
          <w:b/>
          <w:bCs/>
          <w:color w:val="B8860B"/>
        </w:rPr>
        <w:t xml:space="preserve">2.  </w:t>
      </w:r>
      <w:r>
        <w:t xml:space="preserve">detección y descripción con </w:t>
      </w:r>
      <w:r>
        <w:rPr>
          <w:b/>
          <w:bCs/>
        </w:rPr>
        <w:t xml:space="preserve">al menos dos algoritmos</w:t>
      </w:r>
      <w:r>
        <w:t xml:space="preserve">: uno flotante (SIFT o KAZE) y uno binario (ORB o AKAZE);</w:t>
      </w:r>
    </w:p>
    <w:p>
      <w:pPr>
        <w:spacing w:after="60"/>
        <w:ind w:left="360"/>
        <w:jc w:val="both"/>
      </w:pPr>
      <w:r>
        <w:rPr>
          <w:b/>
          <w:bCs/>
          <w:color w:val="B8860B"/>
        </w:rPr>
        <w:t xml:space="preserve">3.  </w:t>
      </w:r>
      <w:r>
        <w:t xml:space="preserve">serialización de los descriptores (retomando el esquema .proto / Protocol Buffers de sesiones previas) para su transmisión;</w:t>
      </w:r>
    </w:p>
    <w:p>
      <w:pPr>
        <w:spacing w:after="60"/>
        <w:ind w:left="360"/>
        <w:jc w:val="both"/>
      </w:pPr>
      <w:r>
        <w:rPr>
          <w:b/>
          <w:bCs/>
          <w:color w:val="B8860B"/>
        </w:rPr>
        <w:t xml:space="preserve">4.  </w:t>
      </w:r>
      <w:r>
        <w:t xml:space="preserve">en el receptor, matching contra una plantilla de referencia con el </w:t>
      </w:r>
      <w:r>
        <w:rPr>
          <w:b/>
          <w:bCs/>
        </w:rPr>
        <w:t xml:space="preserve">ratio test de Lowe</w:t>
      </w:r>
      <w:r>
        <w:t xml:space="preserve">.</w:t>
      </w:r>
    </w:p>
    <w:p>
      <w:pPr>
        <w:spacing w:after="40" w:before="100"/>
      </w:pPr>
      <w:r>
        <w:rPr>
          <w:b/>
          <w:bCs/>
          <w:i/>
          <w:iCs/>
          <w:color w:val="555555"/>
          <w:sz w:val="22"/>
          <w:szCs w:val="22"/>
        </w:rPr>
        <w:t xml:space="preserve">Consideración de eficiencia</w:t>
      </w:r>
    </w:p>
    <w:p>
      <w:pPr>
        <w:spacing w:after="120"/>
        <w:jc w:val="both"/>
      </w:pPr>
      <w:r>
        <w:t xml:space="preserve">Se pide comparar, sobre la Raspberry Pi, el </w:t>
      </w:r>
      <w:r>
        <w:rPr>
          <w:b/>
          <w:bCs/>
        </w:rPr>
        <w:t xml:space="preserve">descriptor flotante frente al binario</w:t>
      </w:r>
      <w:r>
        <w:t xml:space="preserve"> en tres ejes: tiempo de detección+descripción por imagen, </w:t>
      </w:r>
      <w:r>
        <w:rPr>
          <w:b/>
          <w:bCs/>
        </w:rPr>
        <w:t xml:space="preserve">tamaño del payload</w:t>
      </w:r>
      <w:r>
        <w:t xml:space="preserve"> (bytes de los descriptores frente a la imagen RAW/PNG/JPEG) y número de matches correctos. Debe argumentar por qué un descriptor binario (Hamming) suele ser la elección natural en IoT con ancho de banda y CPU limitados.</w:t>
      </w:r>
    </w:p>
    <w:p>
      <w:pPr>
        <w:spacing w:after="120"/>
        <w:jc w:val="both"/>
      </w:pPr>
      <w:r>
        <w:rPr>
          <w:b/>
          <w:bCs/>
        </w:rPr>
        <w:t xml:space="preserve">Entregables. </w:t>
      </w:r>
      <w:r>
        <w:t xml:space="preserve">Código del pipeline (detección → descripción → serialización → matching); tabla comparativa flotante vs binario con tiempo por imagen, bytes del payload y matches correctos; imagen con las correspondencias dibujadas; y una discusión del compromiso entre poder discriminativo, peso del mensaje y costo de cómputo en la plataforma objetivo.</w:t>
      </w:r>
    </w:p>
    <w:p>
      <w:pPr>
        <w:keepNext/>
        <w:spacing w:after="40" w:before="280"/>
      </w:pPr>
      <w:r>
        <w:rPr>
          <w:b/>
          <w:bCs/>
          <w:color w:val="9a6a00"/>
          <w:sz w:val="28"/>
          <w:szCs w:val="28"/>
        </w:rPr>
        <w:t xml:space="preserve">Perfil 2 — Detección de anomalías en mastografía</w:t>
      </w:r>
    </w:p>
    <w:p>
      <w:pPr>
        <w:keepNext/>
        <w:spacing w:after="120"/>
      </w:pPr>
      <w:r>
        <w:rPr>
          <w:b/>
          <w:bCs/>
          <w:i/>
          <w:iCs/>
          <w:color w:val="222222"/>
          <w:sz w:val="24"/>
          <w:szCs w:val="24"/>
        </w:rPr>
        <w:t xml:space="preserve">Registro de estudios y matching robusto en imagen médica de bajo contraste</w:t>
      </w:r>
    </w:p>
    <w:p>
      <w:pPr>
        <w:spacing w:after="120"/>
        <w:jc w:val="both"/>
      </w:pPr>
      <w:r>
        <w:t xml:space="preserve">El alumno trabaja con imágenes mamográficas (escala de grises, bajo contraste) y usa características locales para </w:t>
      </w:r>
      <w:r>
        <w:rPr>
          <w:b/>
          <w:bCs/>
        </w:rPr>
        <w:t xml:space="preserve">registrar dos vistas o dos estudios en el tiempo</w:t>
      </w:r>
      <w:r>
        <w:t xml:space="preserve"> de la misma mama (CC vs. MLO, o seguimiento longitudinal), explicando el fundamento en el reporte. Con OpenCV:</w:t>
      </w:r>
    </w:p>
    <w:p>
      <w:pPr>
        <w:spacing w:after="60"/>
        <w:ind w:left="360"/>
        <w:jc w:val="both"/>
      </w:pPr>
      <w:r>
        <w:rPr>
          <w:b/>
          <w:bCs/>
          <w:color w:val="B8860B"/>
        </w:rPr>
        <w:t xml:space="preserve">•  </w:t>
      </w:r>
      <w:r>
        <w:rPr>
          <w:b/>
          <w:bCs/>
        </w:rPr>
        <w:t xml:space="preserve">Detección + descripción: </w:t>
      </w:r>
      <w:r>
        <w:t xml:space="preserve">aplica realce (CLAHE, de la sesión 1) y luego extrae keypoints con SIFT y con AKAZE, comparando cuántos puntos repetibles se obtienen en tejido denso y de bajo contraste.</w:t>
      </w:r>
    </w:p>
    <w:p>
      <w:pPr>
        <w:spacing w:after="60"/>
        <w:ind w:left="360"/>
        <w:jc w:val="both"/>
      </w:pPr>
      <w:r>
        <w:rPr>
          <w:b/>
          <w:bCs/>
          <w:color w:val="B8860B"/>
        </w:rPr>
        <w:t xml:space="preserve">•  </w:t>
      </w:r>
      <w:r>
        <w:rPr>
          <w:b/>
          <w:bCs/>
        </w:rPr>
        <w:t xml:space="preserve">Matching + homografía: </w:t>
      </w:r>
      <w:r>
        <w:t xml:space="preserve">empareja keypoints entre las dos vistas con el ratio test de Lowe y estima una transformación (afín/homografía) con </w:t>
      </w:r>
      <w:r>
        <w:rPr>
          <w:b/>
          <w:bCs/>
        </w:rPr>
        <w:t xml:space="preserve">RANSAC</w:t>
      </w:r>
      <w:r>
        <w:t xml:space="preserve"> para alinear las imágenes, reportando el número de inliers.</w:t>
      </w:r>
    </w:p>
    <w:p>
      <w:pPr>
        <w:spacing w:after="40" w:before="100"/>
      </w:pPr>
      <w:r>
        <w:rPr>
          <w:b/>
          <w:bCs/>
          <w:i/>
          <w:iCs/>
          <w:color w:val="555555"/>
          <w:sz w:val="22"/>
          <w:szCs w:val="22"/>
        </w:rPr>
        <w:t xml:space="preserve">Consideración de robustez</w:t>
      </w:r>
    </w:p>
    <w:p>
      <w:pPr>
        <w:spacing w:after="120"/>
        <w:jc w:val="both"/>
      </w:pPr>
      <w:r>
        <w:t xml:space="preserve">Debe comparar el matching </w:t>
      </w:r>
      <w:r>
        <w:rPr>
          <w:b/>
          <w:bCs/>
        </w:rPr>
        <w:t xml:space="preserve">con y sin el realce de contraste</w:t>
      </w:r>
      <w:r>
        <w:t xml:space="preserve"> previo, mostrando su efecto sobre el número de keypoints, la tasa de inliers de RANSAC y la calidad del registro. Debe discutir por qué el bajo contraste y la textura densa dificultan la repetibilidad de los descriptores.</w:t>
      </w:r>
    </w:p>
    <w:p>
      <w:pPr>
        <w:spacing w:after="120"/>
        <w:jc w:val="both"/>
      </w:pPr>
      <w:r>
        <w:rPr>
          <w:b/>
          <w:bCs/>
        </w:rPr>
        <w:t xml:space="preserve">Entregables. </w:t>
      </w:r>
      <w:r>
        <w:t xml:space="preserve">Visualizaciones lado a lado (original / keypoints / matches / imágenes registradas); tabla con keypoints detectados, matches y inliers RANSAC para SIFT vs AKAZE; explicación conceptual de por qué las características locales sirven para registro médico; y una discusión del efecto del realce de contraste sobre la calidad del alineamiento.</w:t>
      </w:r>
    </w:p>
    <w:p>
      <w:pPr>
        <w:keepNext/>
        <w:spacing w:after="40" w:before="280"/>
      </w:pPr>
      <w:r>
        <w:rPr>
          <w:b/>
          <w:bCs/>
          <w:color w:val="9a6a00"/>
          <w:sz w:val="28"/>
          <w:szCs w:val="28"/>
        </w:rPr>
        <w:t xml:space="preserve">Perfil 3 — Reconstrucción 3D para ADAS</w:t>
      </w:r>
    </w:p>
    <w:p>
      <w:pPr>
        <w:keepNext/>
        <w:spacing w:after="120"/>
      </w:pPr>
      <w:r>
        <w:rPr>
          <w:b/>
          <w:bCs/>
          <w:i/>
          <w:iCs/>
          <w:color w:val="222222"/>
          <w:sz w:val="24"/>
          <w:szCs w:val="24"/>
        </w:rPr>
        <w:t xml:space="preserve">Correspondencia estéreo con keypoints para triangulación de profundidad</w:t>
      </w:r>
    </w:p>
    <w:p>
      <w:pPr>
        <w:spacing w:after="120"/>
        <w:jc w:val="both"/>
      </w:pPr>
      <w:r>
        <w:t xml:space="preserve">El alumno aborda el papel de las características locales en la </w:t>
      </w:r>
      <w:r>
        <w:rPr>
          <w:b/>
          <w:bCs/>
        </w:rPr>
        <w:t xml:space="preserve">correspondencia estéreo</w:t>
      </w:r>
      <w:r>
        <w:t xml:space="preserve">, base de la triangulación que estima profundidad en un sistema ADAS. Con OpenCV, sobre un par estéreo (propio o de un banco como KITTI):</w:t>
      </w:r>
    </w:p>
    <w:p>
      <w:pPr>
        <w:spacing w:after="60"/>
        <w:ind w:left="360"/>
        <w:jc w:val="both"/>
      </w:pPr>
      <w:r>
        <w:rPr>
          <w:b/>
          <w:bCs/>
          <w:color w:val="B8860B"/>
        </w:rPr>
        <w:t xml:space="preserve">•  </w:t>
      </w:r>
      <w:r>
        <w:rPr>
          <w:b/>
          <w:bCs/>
        </w:rPr>
        <w:t xml:space="preserve">Detección + matching estéreo: </w:t>
      </w:r>
      <w:r>
        <w:t xml:space="preserve">extrae keypoints en las imágenes izquierda y derecha y los empareja, evaluando la </w:t>
      </w:r>
      <w:r>
        <w:rPr>
          <w:b/>
          <w:bCs/>
        </w:rPr>
        <w:t xml:space="preserve">repetibilidad</w:t>
      </w:r>
      <w:r>
        <w:t xml:space="preserve"> —cuántos keypoints de una vista tienen correspondencia válida en la otra tras el ratio test.</w:t>
      </w:r>
    </w:p>
    <w:p>
      <w:pPr>
        <w:spacing w:after="60"/>
        <w:ind w:left="360"/>
        <w:jc w:val="both"/>
      </w:pPr>
      <w:r>
        <w:rPr>
          <w:b/>
          <w:bCs/>
          <w:color w:val="B8860B"/>
        </w:rPr>
        <w:t xml:space="preserve">•  </w:t>
      </w:r>
      <w:r>
        <w:rPr>
          <w:b/>
          <w:bCs/>
        </w:rPr>
        <w:t xml:space="preserve">Comparación de algoritmos: </w:t>
      </w:r>
      <w:r>
        <w:t xml:space="preserve">repite el proceso con un descriptor flotante (SIFT) y uno binario (ORB o AKAZE) y compara densidad de correspondencias, tiempo y tasa de aciertos.</w:t>
      </w:r>
    </w:p>
    <w:p>
      <w:pPr>
        <w:spacing w:after="120"/>
        <w:jc w:val="both"/>
      </w:pPr>
      <w:r>
        <w:t xml:space="preserve">El alumno debe </w:t>
      </w:r>
      <w:r>
        <w:rPr>
          <w:b/>
          <w:bCs/>
        </w:rPr>
        <w:t xml:space="preserve">simular condiciones adversas</w:t>
      </w:r>
      <w:r>
        <w:t xml:space="preserve"> (tres niveles de iluminación —buena, atardecer y noche— o una diferencia de brillo/ganancia entre las cámaras) y evidenciar cómo se degrada el matching. Debe explicar por qué estos descriptores </w:t>
      </w:r>
      <w:r>
        <w:rPr>
          <w:b/>
          <w:bCs/>
        </w:rPr>
        <w:t xml:space="preserve">son invariantes a escala y rotación</w:t>
      </w:r>
      <w:r>
        <w:t xml:space="preserve">, a diferencia de las esquinas de Harris de la sesión 3, y qué aporta eso al variar la distancia a los objetos.</w:t>
      </w:r>
    </w:p>
    <w:p>
      <w:pPr>
        <w:spacing w:after="40" w:before="100"/>
      </w:pPr>
      <w:r>
        <w:rPr>
          <w:b/>
          <w:bCs/>
          <w:i/>
          <w:iCs/>
          <w:color w:val="555555"/>
          <w:sz w:val="22"/>
          <w:szCs w:val="22"/>
        </w:rPr>
        <w:t xml:space="preserve">Consideración de robustez</w:t>
      </w:r>
    </w:p>
    <w:p>
      <w:pPr>
        <w:spacing w:after="120"/>
        <w:jc w:val="both"/>
      </w:pPr>
      <w:r>
        <w:t xml:space="preserve">Debe reportar una </w:t>
      </w:r>
      <w:r>
        <w:rPr>
          <w:b/>
          <w:bCs/>
        </w:rPr>
        <w:t xml:space="preserve">tasa de repetibilidad / matches correctos</w:t>
      </w:r>
      <w:r>
        <w:t xml:space="preserve"> entre las vistas izquierda y derecha para cada algoritmo y condición, y discutir en qué escenario se pierde más correspondencia y por qué.</w:t>
      </w:r>
    </w:p>
    <w:p>
      <w:pPr>
        <w:spacing w:after="120"/>
        <w:jc w:val="both"/>
      </w:pPr>
      <w:r>
        <w:rPr>
          <w:b/>
          <w:bCs/>
        </w:rPr>
        <w:t xml:space="preserve">Entregables. </w:t>
      </w:r>
      <w:r>
        <w:t xml:space="preserve">Código de detección y matching estéreo; imágenes con las correspondencias dibujadas en las tres condiciones de iluminación; tabla comparativa (SIFT vs binario) de matches, inliers y tiempo por condición; análisis de robustez indicando dónde falla cada método; y una nota sobre cómo alimentarían estas correspondencias la etapa de triangulación.</w:t>
      </w:r>
    </w:p>
    <w:p>
      <w:pPr>
        <w:keepNext/>
        <w:spacing w:after="40" w:before="280"/>
      </w:pPr>
      <w:r>
        <w:rPr>
          <w:b/>
          <w:bCs/>
          <w:color w:val="9a6a00"/>
          <w:sz w:val="28"/>
          <w:szCs w:val="28"/>
        </w:rPr>
        <w:t xml:space="preserve">Perfil 4 — Análisis de YOLO en plataformas ARM</w:t>
      </w:r>
    </w:p>
    <w:p>
      <w:pPr>
        <w:keepNext/>
        <w:spacing w:after="120"/>
      </w:pPr>
      <w:r>
        <w:rPr>
          <w:b/>
          <w:bCs/>
          <w:i/>
          <w:iCs/>
          <w:color w:val="222222"/>
          <w:sz w:val="24"/>
          <w:szCs w:val="24"/>
        </w:rPr>
        <w:t xml:space="preserve">Costo en ARM de descriptores clásicos frente al pipeline de inferencia</w:t>
      </w:r>
    </w:p>
    <w:p>
      <w:pPr>
        <w:spacing w:after="120"/>
        <w:jc w:val="both"/>
      </w:pPr>
      <w:r>
        <w:t xml:space="preserve">Práctica centrada en el </w:t>
      </w:r>
      <w:r>
        <w:rPr>
          <w:b/>
          <w:bCs/>
        </w:rPr>
        <w:t xml:space="preserve">costo de cómputo en la plataforma embebida</w:t>
      </w:r>
      <w:r>
        <w:t xml:space="preserve">. El alumno usa las implementaciones de OpenCV de varios detectores/descriptores y las </w:t>
      </w:r>
      <w:r>
        <w:rPr>
          <w:b/>
          <w:bCs/>
        </w:rPr>
        <w:t xml:space="preserve">perfila en el objetivo ARM</w:t>
      </w:r>
      <w:r>
        <w:t xml:space="preserve">, para tener un punto de comparación clásico frente al costo de las capas convolucionales de su pipeline de YOLO.</w:t>
      </w:r>
    </w:p>
    <w:p>
      <w:pPr>
        <w:spacing w:after="60"/>
        <w:ind w:left="360"/>
        <w:jc w:val="both"/>
      </w:pPr>
      <w:r>
        <w:rPr>
          <w:b/>
          <w:bCs/>
          <w:color w:val="B8860B"/>
        </w:rPr>
        <w:t xml:space="preserve">•  </w:t>
      </w:r>
      <w:r>
        <w:rPr>
          <w:b/>
          <w:bCs/>
        </w:rPr>
        <w:t xml:space="preserve">Benchmark de algoritmos: </w:t>
      </w:r>
      <w:r>
        <w:t xml:space="preserve">mide en ARM el tiempo de detección+descripción de SIFT, ORB, BRISK y AKAZE sobre el mismo conjunto de imágenes, variando el número de keypoints solicitados y la resolución de entrada.</w:t>
      </w:r>
    </w:p>
    <w:p>
      <w:pPr>
        <w:spacing w:after="60"/>
        <w:ind w:left="360"/>
        <w:jc w:val="both"/>
      </w:pPr>
      <w:r>
        <w:rPr>
          <w:b/>
          <w:bCs/>
          <w:color w:val="B8860B"/>
        </w:rPr>
        <w:t xml:space="preserve">•  </w:t>
      </w:r>
      <w:r>
        <w:rPr>
          <w:b/>
          <w:bCs/>
        </w:rPr>
        <w:t xml:space="preserve">Costo del matching: </w:t>
      </w:r>
      <w:r>
        <w:t xml:space="preserve">compara el tiempo de emparejamiento con </w:t>
      </w:r>
      <w:r>
        <w:rPr>
          <w:b/>
          <w:bCs/>
        </w:rPr>
        <w:t xml:space="preserve">L2 (flotante)</w:t>
      </w:r>
      <w:r>
        <w:t xml:space="preserve"> frente a </w:t>
      </w:r>
      <w:r>
        <w:rPr>
          <w:b/>
          <w:bCs/>
        </w:rPr>
        <w:t xml:space="preserve">Hamming (binario)</w:t>
      </w:r>
      <w:r>
        <w:t xml:space="preserve">, explicando por qué la distancia de Hamming (XOR + popcount) es más barata y por qué eso importa en tiempo real.</w:t>
      </w:r>
    </w:p>
    <w:p>
      <w:pPr>
        <w:spacing w:after="120"/>
        <w:jc w:val="both"/>
      </w:pPr>
      <w:r>
        <w:t xml:space="preserve">El alumno debe </w:t>
      </w:r>
      <w:r>
        <w:rPr>
          <w:b/>
          <w:bCs/>
        </w:rPr>
        <w:t xml:space="preserve">cronometrar cada etapa en la plataforma ARM</w:t>
      </w:r>
      <w:r>
        <w:t xml:space="preserve"> y estudiar cómo escala el costo con el número de keypoints y la resolución. La práctica conecta con su tesis: estos operadores clásicos, de costo </w:t>
      </w:r>
      <w:r>
        <w:rPr>
          <w:b/>
          <w:bCs/>
        </w:rPr>
        <w:t xml:space="preserve">predecible y medible</w:t>
      </w:r>
      <w:r>
        <w:t xml:space="preserve">, contrastan con el costo de la inferencia de YOLO.</w:t>
      </w:r>
    </w:p>
    <w:p>
      <w:pPr>
        <w:spacing w:after="40" w:before="100"/>
      </w:pPr>
      <w:r>
        <w:rPr>
          <w:b/>
          <w:bCs/>
          <w:i/>
          <w:iCs/>
          <w:color w:val="555555"/>
          <w:sz w:val="22"/>
          <w:szCs w:val="22"/>
        </w:rPr>
        <w:t xml:space="preserve">Consideración de eficiencia</w:t>
      </w:r>
    </w:p>
    <w:p>
      <w:pPr>
        <w:spacing w:after="120"/>
        <w:jc w:val="both"/>
      </w:pPr>
      <w:r>
        <w:t xml:space="preserve">Debe discutir qué etapas son </w:t>
      </w:r>
      <w:r>
        <w:rPr>
          <w:b/>
          <w:bCs/>
        </w:rPr>
        <w:t xml:space="preserve">paralelizables</w:t>
      </w:r>
      <w:r>
        <w:t xml:space="preserve"> y estimar el beneficio potencial de vectorización SIMD (NEON) en ARM, así como el papel de banderas de compilación de OpenCV, aunque no se implemente. Debe cerrar comparando el orden de magnitud de estos costos con el de una capa convolucional del pipeline de YOLO.</w:t>
      </w:r>
    </w:p>
    <w:p>
      <w:pPr>
        <w:spacing w:after="120"/>
        <w:jc w:val="both"/>
      </w:pPr>
      <w:r>
        <w:rPr>
          <w:b/>
          <w:bCs/>
        </w:rPr>
        <w:t xml:space="preserve">Entregables. </w:t>
      </w:r>
      <w:r>
        <w:t xml:space="preserve">Script de benchmarking reproducible; tablas de tiempos en la plataforma ARM (detección+descripción por algoritmo y matching L2 vs Hamming) variando keypoints y resolución; gráficas de escalado; y una discusión que relacione estos costos con el de la inferencia de YOLO y con la elección de descriptor para tiempo real en ARM.</w:t>
      </w:r>
    </w:p>
    <w:p>
      <w:pPr>
        <w:keepNext/>
        <w:spacing w:after="40" w:before="280"/>
      </w:pPr>
      <w:r>
        <w:rPr>
          <w:b/>
          <w:bCs/>
          <w:color w:val="9a6a00"/>
          <w:sz w:val="28"/>
          <w:szCs w:val="28"/>
        </w:rPr>
        <w:t xml:space="preserve">Perfil 5 — Indicadores clínicos de diabetes con Deep Learning (datos tabulares y temporales)</w:t>
      </w:r>
    </w:p>
    <w:p>
      <w:pPr>
        <w:keepNext/>
        <w:spacing w:after="120"/>
      </w:pPr>
      <w:r>
        <w:rPr>
          <w:b/>
          <w:bCs/>
          <w:i/>
          <w:iCs/>
          <w:color w:val="222222"/>
          <w:sz w:val="24"/>
          <w:szCs w:val="24"/>
        </w:rPr>
        <w:t xml:space="preserve">De los descriptores locales a características locales en señales</w:t>
      </w:r>
    </w:p>
    <w:p>
      <w:pPr>
        <w:spacing w:after="120"/>
        <w:jc w:val="both"/>
      </w:pPr>
      <w:r>
        <w:t xml:space="preserve">Este perfil no procesa imágenes, sino </w:t>
      </w:r>
      <w:r>
        <w:rPr>
          <w:b/>
          <w:bCs/>
        </w:rPr>
        <w:t xml:space="preserve">datos tabulares y series temporales</w:t>
      </w:r>
      <w:r>
        <w:t xml:space="preserve"> de indicadores médicos relacionados con la diabetes (glucosa continua, HbA1c, IMC, presión, registros de insulina). La actividad </w:t>
      </w:r>
      <w:r>
        <w:rPr>
          <w:b/>
          <w:bCs/>
        </w:rPr>
        <w:t xml:space="preserve">traslada la idea central de la sesión</w:t>
      </w:r>
      <w:r>
        <w:t xml:space="preserve"> —describir un punto por la estructura de su vecindad y emparejar patrones por similitud de descriptores— al dominio del alumno, preparando el terreno para los modelos de aprendizaje profundo (CNN 1D / LSTM) de su tesis. Puede apoyarse en bibliotecas existentes (SciPy, tslearn, etc.); no se implementa nada desde cero.</w:t>
      </w:r>
    </w:p>
    <w:p>
      <w:pPr>
        <w:spacing w:after="120"/>
        <w:jc w:val="both"/>
      </w:pPr>
      <w:r>
        <w:t xml:space="preserve">El alumno realiza dos ejercicios análogos a lo visto:</w:t>
      </w:r>
    </w:p>
    <w:p>
      <w:pPr>
        <w:spacing w:after="60"/>
        <w:ind w:left="360"/>
        <w:jc w:val="both"/>
      </w:pPr>
      <w:r>
        <w:rPr>
          <w:b/>
          <w:bCs/>
          <w:color w:val="B8860B"/>
        </w:rPr>
        <w:t xml:space="preserve">•  </w:t>
      </w:r>
      <w:r>
        <w:rPr>
          <w:b/>
          <w:bCs/>
        </w:rPr>
        <w:t xml:space="preserve">Keypoints temporales (análogo a la detección): </w:t>
      </w:r>
      <w:r>
        <w:t xml:space="preserve">detecta </w:t>
      </w:r>
      <w:r>
        <w:rPr>
          <w:b/>
          <w:bCs/>
        </w:rPr>
        <w:t xml:space="preserve">instantes de interés</w:t>
      </w:r>
      <w:r>
        <w:t xml:space="preserve"> en la señal —donde 'cambia mucho en su vecindad'— y construye un </w:t>
      </w:r>
      <w:r>
        <w:rPr>
          <w:b/>
          <w:bCs/>
        </w:rPr>
        <w:t xml:space="preserve">descriptor local</w:t>
      </w:r>
      <w:r>
        <w:t xml:space="preserve"> de cada uno (por ejemplo, un histograma de pendientes o estadísticos de una ventana), igual que SIFT describe la vecindad de un keypoint.</w:t>
      </w:r>
    </w:p>
    <w:p>
      <w:pPr>
        <w:spacing w:after="60"/>
        <w:ind w:left="360"/>
        <w:jc w:val="both"/>
      </w:pPr>
      <w:r>
        <w:rPr>
          <w:b/>
          <w:bCs/>
          <w:color w:val="B8860B"/>
        </w:rPr>
        <w:t xml:space="preserve">•  </w:t>
      </w:r>
      <w:r>
        <w:rPr>
          <w:b/>
          <w:bCs/>
        </w:rPr>
        <w:t xml:space="preserve">Matching de motivos (análogo al emparejamiento): </w:t>
      </w:r>
      <w:r>
        <w:t xml:space="preserve">usa esos descriptores para </w:t>
      </w:r>
      <w:r>
        <w:rPr>
          <w:b/>
          <w:bCs/>
        </w:rPr>
        <w:t xml:space="preserve">emparejar patrones recurrentes</w:t>
      </w:r>
      <w:r>
        <w:t xml:space="preserve"> (p. ej. picos postprandiales similares) entre distintos tramos o pacientes por </w:t>
      </w:r>
      <w:r>
        <w:rPr>
          <w:b/>
          <w:bCs/>
        </w:rPr>
        <w:t xml:space="preserve">distancia entre descriptores</w:t>
      </w:r>
      <w:r>
        <w:t xml:space="preserve">, tal como se emparejan keypoints entre imágenes.</w:t>
      </w:r>
    </w:p>
    <w:p>
      <w:pPr>
        <w:spacing w:after="120"/>
        <w:jc w:val="both"/>
      </w:pPr>
      <w:r>
        <w:t xml:space="preserve">Finalmente, conecta con el </w:t>
      </w:r>
      <w:r>
        <w:rPr>
          <w:b/>
          <w:bCs/>
        </w:rPr>
        <w:t xml:space="preserve">esquema de DL</w:t>
      </w:r>
      <w:r>
        <w:t xml:space="preserve"> de su tesis: argumenta cómo una </w:t>
      </w:r>
      <w:r>
        <w:rPr>
          <w:b/>
          <w:bCs/>
        </w:rPr>
        <w:t xml:space="preserve">CNN 1D</w:t>
      </w:r>
      <w:r>
        <w:t xml:space="preserve"> aprende en sus primeras capas filtros que responden a estos patrones locales (picos, flancos) —igual que las primeras capas de una CNN de imagen convergen a detectores de borde y que SIFT codifica gradientes locales— y cómo una </w:t>
      </w:r>
      <w:r>
        <w:rPr>
          <w:b/>
          <w:bCs/>
        </w:rPr>
        <w:t xml:space="preserve">LSTM</w:t>
      </w:r>
      <w:r>
        <w:t xml:space="preserve"> complementa capturando la dependencia temporal de largo alcance. No se exige entrenar el modelo final, sino </w:t>
      </w:r>
      <w:r>
        <w:rPr>
          <w:b/>
          <w:bCs/>
        </w:rPr>
        <w:t xml:space="preserve">dejar preparado el pipeline de características</w:t>
      </w:r>
      <w:r>
        <w:t xml:space="preserve"> y justificar el paradigma.</w:t>
      </w:r>
    </w:p>
    <w:p>
      <w:pPr>
        <w:spacing w:after="40" w:before="100"/>
      </w:pPr>
      <w:r>
        <w:rPr>
          <w:b/>
          <w:bCs/>
          <w:i/>
          <w:iCs/>
          <w:color w:val="555555"/>
          <w:sz w:val="22"/>
          <w:szCs w:val="22"/>
        </w:rPr>
        <w:t xml:space="preserve">Consideración de datos</w:t>
      </w:r>
    </w:p>
    <w:p>
      <w:pPr>
        <w:spacing w:after="120"/>
        <w:jc w:val="both"/>
      </w:pPr>
      <w:r>
        <w:t xml:space="preserve">El alumno usa un conjunto público (un dataset de monitoreo continuo de glucosa o el </w:t>
      </w:r>
      <w:r>
        <w:rPr>
          <w:b/>
          <w:bCs/>
        </w:rPr>
        <w:t xml:space="preserve">Pima Indians Diabetes</w:t>
      </w:r>
      <w:r>
        <w:t xml:space="preserve"> para la parte tabular) y documenta el preprocesamiento (normalización, manejo de faltantes, ventaneo) para que el trabajo sea reproducible.</w:t>
      </w:r>
    </w:p>
    <w:p>
      <w:pPr>
        <w:spacing w:after="120"/>
        <w:jc w:val="both"/>
      </w:pPr>
      <w:r>
        <w:rPr>
          <w:b/>
          <w:bCs/>
        </w:rPr>
        <w:t xml:space="preserve">Entregables. </w:t>
      </w:r>
      <w:r>
        <w:t xml:space="preserve">Código del detector de puntos de interés temporales y del matching de motivos por descriptor; visualizaciones de la señal con los keypoints y los emparejamientos marcados; comparación del matching por descriptor frente a un criterio simple (robustez); un esquema de las características que alimentarían una CNN 1D / LSTM; y una discusión que justifique el paradigma de DL y trace el paralelo con lo visto en clase (descripción local y matching).</w:t>
      </w:r>
    </w:p>
    <w:p>
      <w:pPr>
        <w:pageBreakBefore/>
        <w:spacing w:after="120" w:before="120"/>
      </w:pPr>
      <w:r>
        <w:rPr>
          <w:b/>
          <w:bCs/>
          <w:color w:val="B8860B"/>
          <w:sz w:val="28"/>
          <w:szCs w:val="28"/>
        </w:rPr>
        <w:t xml:space="preserve">Rúbrica de evaluación (común a las cinco actividades)</w:t>
      </w:r>
    </w:p>
    <w:p>
      <w:pPr>
        <w:spacing w:after="120"/>
        <w:jc w:val="both"/>
      </w:pPr>
      <w:r>
        <w:t xml:space="preserve">Cada actividad se califica con los mismos cinco criterios. La escala por criterio es de 0 a 4; la calificación final pondera cada criterio según su peso. El </w:t>
      </w:r>
      <w:r>
        <w:rPr>
          <w:b/>
          <w:bCs/>
        </w:rPr>
        <w:t xml:space="preserve">nivel Suficiente</w:t>
      </w:r>
      <w:r>
        <w:t xml:space="preserve"> corresponde a un desempeño aceptable con áreas de mejora; el </w:t>
      </w:r>
      <w:r>
        <w:rPr>
          <w:b/>
          <w:bCs/>
        </w:rPr>
        <w:t xml:space="preserve">nivel Excelente</w:t>
      </w:r>
      <w:r>
        <w:t xml:space="preserve">, a un trabajo completo, correcto y bien argumentado.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2000"/>
        <w:gridCol w:w="1000"/>
      </w:tblGrid>
      <w:tr>
        <w:trPr>
          <w:cantSplit/>
          <w:tblHeader/>
        </w:trPr>
        <w:tc>
          <w:tcPr>
            <w:tcW w:type="dxa" w:w="2200"/>
            <w:shd w:fill="1b2130" w:color="auto" w:val="clear"/>
            <w:tcMar>
              <w:top w:type="dxa" w:w="60"/>
              <w:left w:type="dxa" w:w="90"/>
              <w:bottom w:type="dxa" w:w="60"/>
              <w:right w:type="dxa" w:w="90"/>
            </w:tcMar>
          </w:tcPr>
          <w:p>
            <w:r>
              <w:rPr>
                <w:b/>
                <w:bCs/>
                <w:color w:val="ffd166"/>
                <w:sz w:val="20"/>
                <w:szCs w:val="20"/>
              </w:rPr>
              <w:t xml:space="preserve">Criterio</w:t>
            </w:r>
          </w:p>
        </w:tc>
        <w:tc>
          <w:tcPr>
            <w:tcW w:type="dxa" w:w="3000"/>
            <w:shd w:fill="1b2130" w:color="auto" w:val="clear"/>
            <w:tcMar>
              <w:top w:type="dxa" w:w="60"/>
              <w:left w:type="dxa" w:w="90"/>
              <w:bottom w:type="dxa" w:w="60"/>
              <w:right w:type="dxa" w:w="90"/>
            </w:tcMar>
          </w:tcPr>
          <w:p>
            <w:r>
              <w:rPr>
                <w:b/>
                <w:bCs/>
                <w:color w:val="ffd166"/>
                <w:sz w:val="20"/>
                <w:szCs w:val="20"/>
              </w:rPr>
              <w:t xml:space="preserve">Excelente (4)</w:t>
            </w:r>
          </w:p>
        </w:tc>
        <w:tc>
          <w:tcPr>
            <w:tcW w:type="dxa" w:w="2400"/>
            <w:shd w:fill="1b2130" w:color="auto" w:val="clear"/>
            <w:tcMar>
              <w:top w:type="dxa" w:w="60"/>
              <w:left w:type="dxa" w:w="90"/>
              <w:bottom w:type="dxa" w:w="60"/>
              <w:right w:type="dxa" w:w="90"/>
            </w:tcMar>
          </w:tcPr>
          <w:p>
            <w:r>
              <w:rPr>
                <w:b/>
                <w:bCs/>
                <w:color w:val="ffd166"/>
                <w:sz w:val="20"/>
                <w:szCs w:val="20"/>
              </w:rPr>
              <w:t xml:space="preserve">Suficiente (2-3)</w:t>
            </w:r>
          </w:p>
        </w:tc>
        <w:tc>
          <w:tcPr>
            <w:tcW w:type="dxa" w:w="2000"/>
            <w:shd w:fill="1b2130" w:color="auto" w:val="clear"/>
            <w:tcMar>
              <w:top w:type="dxa" w:w="60"/>
              <w:left w:type="dxa" w:w="90"/>
              <w:bottom w:type="dxa" w:w="60"/>
              <w:right w:type="dxa" w:w="90"/>
            </w:tcMar>
          </w:tcPr>
          <w:p>
            <w:r>
              <w:rPr>
                <w:b/>
                <w:bCs/>
                <w:color w:val="ffd166"/>
                <w:sz w:val="20"/>
                <w:szCs w:val="20"/>
              </w:rPr>
              <w:t xml:space="preserve">Insuficiente (0-1)</w:t>
            </w:r>
          </w:p>
        </w:tc>
        <w:tc>
          <w:tcPr>
            <w:tcW w:type="dxa" w:w="1000"/>
            <w:shd w:fill="1b2130" w:color="auto" w:val="clear"/>
            <w:tcMar>
              <w:top w:type="dxa" w:w="60"/>
              <w:left w:type="dxa" w:w="90"/>
              <w:bottom w:type="dxa" w:w="60"/>
              <w:right w:type="dxa" w:w="90"/>
            </w:tcMar>
          </w:tcPr>
          <w:p>
            <w:r>
              <w:rPr>
                <w:b/>
                <w:bCs/>
                <w:color w:val="ffd166"/>
                <w:sz w:val="20"/>
                <w:szCs w:val="20"/>
              </w:rPr>
              <w:t xml:space="preserve">Peso</w:t>
            </w:r>
          </w:p>
        </w:tc>
      </w:tr>
      <w:tr>
        <w:trPr>
          <w:cantSplit/>
        </w:trPr>
        <w:tc>
          <w:tcPr>
            <w:tcW w:type="dxa" w:w="2200"/>
            <w:tcMar>
              <w:top w:type="dxa" w:w="60"/>
              <w:left w:type="dxa" w:w="90"/>
              <w:bottom w:type="dxa" w:w="60"/>
              <w:right w:type="dxa" w:w="90"/>
            </w:tcMar>
          </w:tcPr>
          <w:p>
            <w:r>
              <w:rPr>
                <w:b/>
                <w:bCs/>
                <w:color w:val="222222"/>
                <w:sz w:val="20"/>
                <w:szCs w:val="20"/>
              </w:rPr>
              <w:t xml:space="preserve">Corrección técnica</w:t>
            </w:r>
          </w:p>
        </w:tc>
        <w:tc>
          <w:tcPr>
            <w:tcW w:type="dxa" w:w="3000"/>
            <w:tcMar>
              <w:top w:type="dxa" w:w="60"/>
              <w:left w:type="dxa" w:w="90"/>
              <w:bottom w:type="dxa" w:w="60"/>
              <w:right w:type="dxa" w:w="90"/>
            </w:tcMar>
          </w:tcPr>
          <w:p>
            <w:r>
              <w:rPr>
                <w:b w:val="false"/>
                <w:bCs w:val="false"/>
                <w:color w:val="222222"/>
                <w:sz w:val="20"/>
                <w:szCs w:val="20"/>
              </w:rPr>
              <w:t xml:space="preserve">El algoritmo (OpenCV) se aplica correctamente y produce el resultado esperado sin errores.</w:t>
            </w:r>
          </w:p>
        </w:tc>
        <w:tc>
          <w:tcPr>
            <w:tcW w:type="dxa" w:w="2400"/>
            <w:tcMar>
              <w:top w:type="dxa" w:w="60"/>
              <w:left w:type="dxa" w:w="90"/>
              <w:bottom w:type="dxa" w:w="60"/>
              <w:right w:type="dxa" w:w="90"/>
            </w:tcMar>
          </w:tcPr>
          <w:p>
            <w:r>
              <w:rPr>
                <w:b w:val="false"/>
                <w:bCs w:val="false"/>
                <w:color w:val="222222"/>
                <w:sz w:val="20"/>
                <w:szCs w:val="20"/>
              </w:rPr>
              <w:t xml:space="preserve">Se aplica con errores menores o resultados parcialmente correctos.</w:t>
            </w:r>
          </w:p>
        </w:tc>
        <w:tc>
          <w:tcPr>
            <w:tcW w:type="dxa" w:w="2000"/>
            <w:tcMar>
              <w:top w:type="dxa" w:w="60"/>
              <w:left w:type="dxa" w:w="90"/>
              <w:bottom w:type="dxa" w:w="60"/>
              <w:right w:type="dxa" w:w="90"/>
            </w:tcMar>
          </w:tcPr>
          <w:p>
            <w:r>
              <w:rPr>
                <w:b w:val="false"/>
                <w:bCs w:val="false"/>
                <w:color w:val="222222"/>
                <w:sz w:val="20"/>
                <w:szCs w:val="20"/>
              </w:rPr>
              <w:t xml:space="preserve">No se aplica o el resultado es incorrecto.</w:t>
            </w:r>
          </w:p>
        </w:tc>
        <w:tc>
          <w:tcPr>
            <w:tcW w:type="dxa" w:w="1000"/>
            <w:tcMar>
              <w:top w:type="dxa" w:w="60"/>
              <w:left w:type="dxa" w:w="90"/>
              <w:bottom w:type="dxa" w:w="60"/>
              <w:right w:type="dxa" w:w="90"/>
            </w:tcMar>
          </w:tcPr>
          <w:p>
            <w:r>
              <w:rPr>
                <w:b/>
                <w:bCs/>
                <w:color w:val="9a6a00"/>
                <w:sz w:val="20"/>
                <w:szCs w:val="20"/>
              </w:rPr>
              <w:t xml:space="preserve">30%</w:t>
            </w:r>
          </w:p>
        </w:tc>
      </w:tr>
      <w:tr>
        <w:trPr>
          <w:cantSplit/>
        </w:trPr>
        <w:tc>
          <w:tcPr>
            <w:tcW w:type="dxa" w:w="2200"/>
            <w:shd w:fill="f4f6f8" w:color="auto" w:val="clear"/>
            <w:tcMar>
              <w:top w:type="dxa" w:w="60"/>
              <w:left w:type="dxa" w:w="90"/>
              <w:bottom w:type="dxa" w:w="60"/>
              <w:right w:type="dxa" w:w="90"/>
            </w:tcMar>
          </w:tcPr>
          <w:p>
            <w:r>
              <w:rPr>
                <w:b/>
                <w:bCs/>
                <w:color w:val="222222"/>
                <w:sz w:val="20"/>
                <w:szCs w:val="20"/>
              </w:rPr>
              <w:t xml:space="preserve">Dominio conceptual</w:t>
            </w:r>
          </w:p>
        </w:tc>
        <w:tc>
          <w:tcPr>
            <w:tcW w:type="dxa" w:w="3000"/>
            <w:shd w:fill="f4f6f8" w:color="auto" w:val="clear"/>
            <w:tcMar>
              <w:top w:type="dxa" w:w="60"/>
              <w:left w:type="dxa" w:w="90"/>
              <w:bottom w:type="dxa" w:w="60"/>
              <w:right w:type="dxa" w:w="90"/>
            </w:tcMar>
          </w:tcPr>
          <w:p>
            <w:r>
              <w:rPr>
                <w:b w:val="false"/>
                <w:bCs w:val="false"/>
                <w:color w:val="222222"/>
                <w:sz w:val="20"/>
                <w:szCs w:val="20"/>
              </w:rPr>
              <w:t xml:space="preserve">Explica con precisión SIFT y la familia de descriptores y por qué el elegido aplica a su dominio.</w:t>
            </w:r>
          </w:p>
        </w:tc>
        <w:tc>
          <w:tcPr>
            <w:tcW w:type="dxa" w:w="2400"/>
            <w:shd w:fill="f4f6f8" w:color="auto" w:val="clear"/>
            <w:tcMar>
              <w:top w:type="dxa" w:w="60"/>
              <w:left w:type="dxa" w:w="90"/>
              <w:bottom w:type="dxa" w:w="60"/>
              <w:right w:type="dxa" w:w="90"/>
            </w:tcMar>
          </w:tcPr>
          <w:p>
            <w:r>
              <w:rPr>
                <w:b w:val="false"/>
                <w:bCs w:val="false"/>
                <w:color w:val="222222"/>
                <w:sz w:val="20"/>
                <w:szCs w:val="20"/>
              </w:rPr>
              <w:t xml:space="preserve">Explica de forma general, con imprecisiones o sin conectar con el dominio.</w:t>
            </w:r>
          </w:p>
        </w:tc>
        <w:tc>
          <w:tcPr>
            <w:tcW w:type="dxa" w:w="2000"/>
            <w:shd w:fill="f4f6f8" w:color="auto" w:val="clear"/>
            <w:tcMar>
              <w:top w:type="dxa" w:w="60"/>
              <w:left w:type="dxa" w:w="90"/>
              <w:bottom w:type="dxa" w:w="60"/>
              <w:right w:type="dxa" w:w="90"/>
            </w:tcMar>
          </w:tcPr>
          <w:p>
            <w:r>
              <w:rPr>
                <w:b w:val="false"/>
                <w:bCs w:val="false"/>
                <w:color w:val="222222"/>
                <w:sz w:val="20"/>
                <w:szCs w:val="20"/>
              </w:rPr>
              <w:t xml:space="preserve">No explica o los conceptos son erróneos.</w:t>
            </w:r>
          </w:p>
        </w:tc>
        <w:tc>
          <w:tcPr>
            <w:tcW w:type="dxa" w:w="1000"/>
            <w:shd w:fill="f4f6f8" w:color="auto" w:val="clear"/>
            <w:tcMar>
              <w:top w:type="dxa" w:w="60"/>
              <w:left w:type="dxa" w:w="90"/>
              <w:bottom w:type="dxa" w:w="60"/>
              <w:right w:type="dxa" w:w="90"/>
            </w:tcMar>
          </w:tcPr>
          <w:p>
            <w:r>
              <w:rPr>
                <w:b/>
                <w:bCs/>
                <w:color w:val="9a6a00"/>
                <w:sz w:val="20"/>
                <w:szCs w:val="20"/>
              </w:rPr>
              <w:t xml:space="preserve">25%</w:t>
            </w:r>
          </w:p>
        </w:tc>
      </w:tr>
      <w:tr>
        <w:trPr>
          <w:cantSplit/>
        </w:trPr>
        <w:tc>
          <w:tcPr>
            <w:tcW w:type="dxa" w:w="2200"/>
            <w:tcMar>
              <w:top w:type="dxa" w:w="60"/>
              <w:left w:type="dxa" w:w="90"/>
              <w:bottom w:type="dxa" w:w="60"/>
              <w:right w:type="dxa" w:w="90"/>
            </w:tcMar>
          </w:tcPr>
          <w:p>
            <w:r>
              <w:rPr>
                <w:b/>
                <w:bCs/>
                <w:color w:val="222222"/>
                <w:sz w:val="20"/>
                <w:szCs w:val="20"/>
              </w:rPr>
              <w:t xml:space="preserve">Análisis y comparación</w:t>
            </w:r>
          </w:p>
        </w:tc>
        <w:tc>
          <w:tcPr>
            <w:tcW w:type="dxa" w:w="3000"/>
            <w:tcMar>
              <w:top w:type="dxa" w:w="60"/>
              <w:left w:type="dxa" w:w="90"/>
              <w:bottom w:type="dxa" w:w="60"/>
              <w:right w:type="dxa" w:w="90"/>
            </w:tcMar>
          </w:tcPr>
          <w:p>
            <w:r>
              <w:rPr>
                <w:b w:val="false"/>
                <w:bCs w:val="false"/>
                <w:color w:val="222222"/>
                <w:sz w:val="20"/>
                <w:szCs w:val="20"/>
              </w:rPr>
              <w:t xml:space="preserve">Compara algoritmos o condiciones con evidencia (matches, inliers, tiempos) y extrae conclusiones válidas.</w:t>
            </w:r>
          </w:p>
        </w:tc>
        <w:tc>
          <w:tcPr>
            <w:tcW w:type="dxa" w:w="2400"/>
            <w:tcMar>
              <w:top w:type="dxa" w:w="60"/>
              <w:left w:type="dxa" w:w="90"/>
              <w:bottom w:type="dxa" w:w="60"/>
              <w:right w:type="dxa" w:w="90"/>
            </w:tcMar>
          </w:tcPr>
          <w:p>
            <w:r>
              <w:rPr>
                <w:b w:val="false"/>
                <w:bCs w:val="false"/>
                <w:color w:val="222222"/>
                <w:sz w:val="20"/>
                <w:szCs w:val="20"/>
              </w:rPr>
              <w:t xml:space="preserve">Comparación superficial o sin conclusiones claras.</w:t>
            </w:r>
          </w:p>
        </w:tc>
        <w:tc>
          <w:tcPr>
            <w:tcW w:type="dxa" w:w="2000"/>
            <w:tcMar>
              <w:top w:type="dxa" w:w="60"/>
              <w:left w:type="dxa" w:w="90"/>
              <w:bottom w:type="dxa" w:w="60"/>
              <w:right w:type="dxa" w:w="90"/>
            </w:tcMar>
          </w:tcPr>
          <w:p>
            <w:r>
              <w:rPr>
                <w:b w:val="false"/>
                <w:bCs w:val="false"/>
                <w:color w:val="222222"/>
                <w:sz w:val="20"/>
                <w:szCs w:val="20"/>
              </w:rPr>
              <w:t xml:space="preserve">No hay comparación ni análisis.</w:t>
            </w:r>
          </w:p>
        </w:tc>
        <w:tc>
          <w:tcPr>
            <w:tcW w:type="dxa" w:w="1000"/>
            <w:tcMar>
              <w:top w:type="dxa" w:w="60"/>
              <w:left w:type="dxa" w:w="90"/>
              <w:bottom w:type="dxa" w:w="60"/>
              <w:right w:type="dxa" w:w="90"/>
            </w:tcMar>
          </w:tcPr>
          <w:p>
            <w:r>
              <w:rPr>
                <w:b/>
                <w:bCs/>
                <w:color w:val="9a6a00"/>
                <w:sz w:val="20"/>
                <w:szCs w:val="20"/>
              </w:rPr>
              <w:t xml:space="preserve">20%</w:t>
            </w:r>
          </w:p>
        </w:tc>
      </w:tr>
      <w:tr>
        <w:trPr>
          <w:cantSplit/>
        </w:trPr>
        <w:tc>
          <w:tcPr>
            <w:tcW w:type="dxa" w:w="2200"/>
            <w:shd w:fill="f4f6f8" w:color="auto" w:val="clear"/>
            <w:tcMar>
              <w:top w:type="dxa" w:w="60"/>
              <w:left w:type="dxa" w:w="90"/>
              <w:bottom w:type="dxa" w:w="60"/>
              <w:right w:type="dxa" w:w="90"/>
            </w:tcMar>
          </w:tcPr>
          <w:p>
            <w:r>
              <w:rPr>
                <w:b/>
                <w:bCs/>
                <w:color w:val="222222"/>
                <w:sz w:val="20"/>
                <w:szCs w:val="20"/>
              </w:rPr>
              <w:t xml:space="preserve">Evidencia y visualizaciones</w:t>
            </w:r>
          </w:p>
        </w:tc>
        <w:tc>
          <w:tcPr>
            <w:tcW w:type="dxa" w:w="3000"/>
            <w:shd w:fill="f4f6f8" w:color="auto" w:val="clear"/>
            <w:tcMar>
              <w:top w:type="dxa" w:w="60"/>
              <w:left w:type="dxa" w:w="90"/>
              <w:bottom w:type="dxa" w:w="60"/>
              <w:right w:type="dxa" w:w="90"/>
            </w:tcMar>
          </w:tcPr>
          <w:p>
            <w:r>
              <w:rPr>
                <w:b w:val="false"/>
                <w:bCs w:val="false"/>
                <w:color w:val="222222"/>
                <w:sz w:val="20"/>
                <w:szCs w:val="20"/>
              </w:rPr>
              <w:t xml:space="preserve">Entrega visualizaciones claras y rotuladas (keypoints, matches) que sustentan cada afirmación.</w:t>
            </w:r>
          </w:p>
        </w:tc>
        <w:tc>
          <w:tcPr>
            <w:tcW w:type="dxa" w:w="2400"/>
            <w:shd w:fill="f4f6f8" w:color="auto" w:val="clear"/>
            <w:tcMar>
              <w:top w:type="dxa" w:w="60"/>
              <w:left w:type="dxa" w:w="90"/>
              <w:bottom w:type="dxa" w:w="60"/>
              <w:right w:type="dxa" w:w="90"/>
            </w:tcMar>
          </w:tcPr>
          <w:p>
            <w:r>
              <w:rPr>
                <w:b w:val="false"/>
                <w:bCs w:val="false"/>
                <w:color w:val="222222"/>
                <w:sz w:val="20"/>
                <w:szCs w:val="20"/>
              </w:rPr>
              <w:t xml:space="preserve">Evidencia incompleta o poco clara.</w:t>
            </w:r>
          </w:p>
        </w:tc>
        <w:tc>
          <w:tcPr>
            <w:tcW w:type="dxa" w:w="2000"/>
            <w:shd w:fill="f4f6f8" w:color="auto" w:val="clear"/>
            <w:tcMar>
              <w:top w:type="dxa" w:w="60"/>
              <w:left w:type="dxa" w:w="90"/>
              <w:bottom w:type="dxa" w:w="60"/>
              <w:right w:type="dxa" w:w="90"/>
            </w:tcMar>
          </w:tcPr>
          <w:p>
            <w:r>
              <w:rPr>
                <w:b w:val="false"/>
                <w:bCs w:val="false"/>
                <w:color w:val="222222"/>
                <w:sz w:val="20"/>
                <w:szCs w:val="20"/>
              </w:rPr>
              <w:t xml:space="preserve">Evidencia ausente o ilegible.</w:t>
            </w:r>
          </w:p>
        </w:tc>
        <w:tc>
          <w:tcPr>
            <w:tcW w:type="dxa" w:w="1000"/>
            <w:shd w:fill="f4f6f8" w:color="auto" w:val="clear"/>
            <w:tcMar>
              <w:top w:type="dxa" w:w="60"/>
              <w:left w:type="dxa" w:w="90"/>
              <w:bottom w:type="dxa" w:w="60"/>
              <w:right w:type="dxa" w:w="90"/>
            </w:tcMar>
          </w:tcPr>
          <w:p>
            <w:r>
              <w:rPr>
                <w:b/>
                <w:bCs/>
                <w:color w:val="9a6a00"/>
                <w:sz w:val="20"/>
                <w:szCs w:val="20"/>
              </w:rPr>
              <w:t xml:space="preserve">15%</w:t>
            </w:r>
          </w:p>
        </w:tc>
      </w:tr>
      <w:tr>
        <w:trPr>
          <w:cantSplit/>
        </w:trPr>
        <w:tc>
          <w:tcPr>
            <w:tcW w:type="dxa" w:w="2200"/>
            <w:tcMar>
              <w:top w:type="dxa" w:w="60"/>
              <w:left w:type="dxa" w:w="90"/>
              <w:bottom w:type="dxa" w:w="60"/>
              <w:right w:type="dxa" w:w="90"/>
            </w:tcMar>
          </w:tcPr>
          <w:p>
            <w:r>
              <w:rPr>
                <w:b/>
                <w:bCs/>
                <w:color w:val="222222"/>
                <w:sz w:val="20"/>
                <w:szCs w:val="20"/>
              </w:rPr>
              <w:t xml:space="preserve">Reporte y reproducibilidad</w:t>
            </w:r>
          </w:p>
        </w:tc>
        <w:tc>
          <w:tcPr>
            <w:tcW w:type="dxa" w:w="3000"/>
            <w:tcMar>
              <w:top w:type="dxa" w:w="60"/>
              <w:left w:type="dxa" w:w="90"/>
              <w:bottom w:type="dxa" w:w="60"/>
              <w:right w:type="dxa" w:w="90"/>
            </w:tcMar>
          </w:tcPr>
          <w:p>
            <w:r>
              <w:rPr>
                <w:b w:val="false"/>
                <w:bCs w:val="false"/>
                <w:color w:val="222222"/>
                <w:sz w:val="20"/>
                <w:szCs w:val="20"/>
              </w:rPr>
              <w:t xml:space="preserve">Reporte ordenado; el trabajo puede reproducirse (código/entorno documentado).</w:t>
            </w:r>
          </w:p>
        </w:tc>
        <w:tc>
          <w:tcPr>
            <w:tcW w:type="dxa" w:w="2400"/>
            <w:tcMar>
              <w:top w:type="dxa" w:w="60"/>
              <w:left w:type="dxa" w:w="90"/>
              <w:bottom w:type="dxa" w:w="60"/>
              <w:right w:type="dxa" w:w="90"/>
            </w:tcMar>
          </w:tcPr>
          <w:p>
            <w:r>
              <w:rPr>
                <w:b w:val="false"/>
                <w:bCs w:val="false"/>
                <w:color w:val="222222"/>
                <w:sz w:val="20"/>
                <w:szCs w:val="20"/>
              </w:rPr>
              <w:t xml:space="preserve">Reporte comprensible pero difícil de reproducir.</w:t>
            </w:r>
          </w:p>
        </w:tc>
        <w:tc>
          <w:tcPr>
            <w:tcW w:type="dxa" w:w="2000"/>
            <w:tcMar>
              <w:top w:type="dxa" w:w="60"/>
              <w:left w:type="dxa" w:w="90"/>
              <w:bottom w:type="dxa" w:w="60"/>
              <w:right w:type="dxa" w:w="90"/>
            </w:tcMar>
          </w:tcPr>
          <w:p>
            <w:r>
              <w:rPr>
                <w:b w:val="false"/>
                <w:bCs w:val="false"/>
                <w:color w:val="222222"/>
                <w:sz w:val="20"/>
                <w:szCs w:val="20"/>
              </w:rPr>
              <w:t xml:space="preserve">Reporte desordenado o no reproducible.</w:t>
            </w:r>
          </w:p>
        </w:tc>
        <w:tc>
          <w:tcPr>
            <w:tcW w:type="dxa" w:w="1000"/>
            <w:tcMar>
              <w:top w:type="dxa" w:w="60"/>
              <w:left w:type="dxa" w:w="90"/>
              <w:bottom w:type="dxa" w:w="60"/>
              <w:right w:type="dxa" w:w="90"/>
            </w:tcMar>
          </w:tcPr>
          <w:p>
            <w:r>
              <w:rPr>
                <w:b/>
                <w:bCs/>
                <w:color w:val="9a6a00"/>
                <w:sz w:val="20"/>
                <w:szCs w:val="20"/>
              </w:rPr>
              <w:t xml:space="preserve">10%</w:t>
            </w:r>
          </w:p>
        </w:tc>
      </w:tr>
    </w:tbl>
    <w:p>
      <w:pPr>
        <w:spacing w:after="80"/>
      </w:pPr>
      <w:r>
        <w:t xml:space="preserve"/>
      </w:r>
    </w:p>
    <w:p>
      <w:pPr>
        <w:spacing w:after="120"/>
        <w:jc w:val="both"/>
      </w:pPr>
      <w:r>
        <w:rPr>
          <w:b/>
          <w:bCs/>
        </w:rPr>
        <w:t xml:space="preserve">Cálculo de la calificación: </w:t>
      </w:r>
      <w:r>
        <w:t xml:space="preserve">suma ponderada de los cinco criterios sobre la escala de 4, normalizada a la escala del curso. Un criterio en 0 indica ausencia total del componente; en 4, cumplimiento pleno del descriptor Excelente.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2026-09-21T00:56:08.451Z</dcterms:created>
  <dcterms:modified xsi:type="dcterms:W3CDTF">2026-09-21T00:56:08.451Z</dcterms:modified>
</cp:coreProperties>
</file>

<file path=docProps/custom.xml><?xml version="1.0" encoding="utf-8"?>
<Properties xmlns="http://schemas.openxmlformats.org/officeDocument/2006/custom-properties" xmlns:vt="http://schemas.openxmlformats.org/officeDocument/2006/docPropsVTypes"/>
</file>