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color w:val="555B66"/>
          <w:sz w:val="20"/>
        </w:rPr>
        <w:t>INSTITUTO TECNOLÓGICO DE QUERÉTARO · TecNM</w:t>
      </w:r>
    </w:p>
    <w:p>
      <w:pPr>
        <w:spacing w:before="0" w:after="40"/>
        <w:jc w:val="center"/>
      </w:pPr>
      <w:r>
        <w:rPr>
          <w:b w:val="0"/>
          <w:i w:val="0"/>
          <w:color w:val="555B66"/>
          <w:sz w:val="20"/>
        </w:rPr>
        <w:t>Maestría · Visión Artificial</w:t>
      </w:r>
    </w:p>
    <w:p>
      <w:pPr>
        <w:spacing w:after="40"/>
        <w:jc w:val="center"/>
      </w:pPr>
      <w:r>
        <w:rPr>
          <w:b/>
          <w:color w:val="222834"/>
          <w:sz w:val="32"/>
        </w:rPr>
        <w:t>Actividad de la Sesión 5: Detección por cascada (Viola-Jones)</w:t>
      </w:r>
    </w:p>
    <w:p>
      <w:pPr>
        <w:spacing w:before="0" w:after="200"/>
        <w:jc w:val="center"/>
      </w:pPr>
      <w:r>
        <w:rPr>
          <w:b w:val="0"/>
          <w:i w:val="0"/>
          <w:color w:val="555B66"/>
          <w:sz w:val="21"/>
        </w:rPr>
        <w:t>Dr. Víctor Alejandro González Huitrón</w:t>
      </w:r>
    </w:p>
    <w:p>
      <w:pPr>
        <w:spacing w:before="0" w:after="120"/>
      </w:pPr>
      <w:r>
        <w:rPr>
          <w:b w:val="0"/>
          <w:i w:val="0"/>
          <w:sz w:val="21"/>
        </w:rPr>
        <w:t>Cada estudiante desarrolla la actividad correspondiente a su perfil de proyecto. Todas las variantes parten de los fundamentos de la sesión: el algoritmo de Viola-Jones (características de Haar, imagen integral, boosting mediante AdaBoost y cascada de clasificadores) y las variantes de característica LBP y HOG. El trabajo se realiza fuera del horario de clase y se revisa en la sesión siguiente. La evaluación emplea la rúbrica común incluida al final del documento.</w:t>
      </w:r>
    </w:p>
    <w:p>
      <w:pPr>
        <w:spacing w:before="0" w:after="120"/>
      </w:pPr>
      <w:r>
        <w:rPr>
          <w:b w:val="0"/>
          <w:i w:val="0"/>
          <w:sz w:val="21"/>
        </w:rPr>
        <w:t>Al igual que en la actividad anterior, no se requiere implementar los algoritmos desde cero. Se espera el uso de la implementación de OpenCV o de una biblioteca equivalente. En la mayoría de los perfiles es suficiente emplear un clasificador preentrenado y evaluarlo o compararlo; el entrenamiento de un detector propio es opcional y, cuando corresponde, se indican los conjuntos de datos disponibles. El objetivo se centra en el uso correcto, la comparación fundamentada y el análisis.</w:t>
      </w:r>
    </w:p>
    <w:p>
      <w:pPr>
        <w:spacing w:before="280" w:after="80"/>
        <w:pBdr>
          <w:bottom w:val="single" w:sz="6" w:space="2" w:color="B87A00"/>
        </w:pBdr>
      </w:pPr>
      <w:r>
        <w:rPr>
          <w:b/>
          <w:color w:val="B87A00"/>
          <w:sz w:val="28"/>
        </w:rPr>
        <w:t>Entrenamiento y uso de un detector en cascada</w:t>
      </w:r>
    </w:p>
    <w:p>
      <w:pPr>
        <w:spacing w:before="160" w:after="40"/>
      </w:pPr>
      <w:r>
        <w:rPr>
          <w:b/>
          <w:color w:val="222834"/>
          <w:sz w:val="22"/>
        </w:rPr>
        <w:t>Conjunto de entrenamiento: muestras positivas y negativas</w:t>
      </w:r>
    </w:p>
    <w:p>
      <w:pPr>
        <w:spacing w:before="0" w:after="120"/>
      </w:pPr>
      <w:r>
        <w:rPr>
          <w:b w:val="0"/>
          <w:i w:val="0"/>
          <w:sz w:val="21"/>
        </w:rPr>
        <w:t>El conjunto de entrenamiento de un detector en cascada difiere del que se emplea para una red neuronal. Se compone de dos tipos de muestras con funciones distintas:</w:t>
      </w:r>
    </w:p>
    <w:p>
      <w:pPr>
        <w:pStyle w:val="ListBullet"/>
        <w:spacing w:after="60"/>
      </w:pPr>
      <w:r>
        <w:rPr>
          <w:sz w:val="21"/>
        </w:rPr>
        <w:t>Muestras positivas: recortes del objeto con su región anotada (bounding box), normalizados a una ventana fija, por ejemplo de 24×24. En OpenCV se enumeran en un archivo de información (ruta, número de objetos y coordenadas x, y, ancho y alto) y se empaquetan en un archivo .vec mediante opencv_createsamples.</w:t>
      </w:r>
    </w:p>
    <w:p>
      <w:pPr>
        <w:pStyle w:val="ListBullet"/>
        <w:spacing w:after="60"/>
      </w:pPr>
      <w:r>
        <w:rPr>
          <w:sz w:val="21"/>
        </w:rPr>
        <w:t>Muestras negativas o de fondo: imágenes que no contienen el objeto y que no llevan anotación. Se enumeran en un archivo de texto (bg.txt) con las rutas correspondientes, y el entrenador extrae de ellas ventanas negativas de forma aleatoria.</w:t>
      </w:r>
    </w:p>
    <w:p>
      <w:pPr>
        <w:pStyle w:val="ListBullet"/>
        <w:spacing w:after="60"/>
      </w:pPr>
      <w:r>
        <w:rPr>
          <w:sz w:val="21"/>
        </w:rPr>
        <w:t>Proporción: se recomienda una cantidad de muestras negativas mayor que la de positivas, con una relación típica de 2:1 o superior. Las imágenes negativas deben ser de mayor tamaño que la ventana de detección y presentar suficiente variedad.</w:t>
      </w:r>
    </w:p>
    <w:p>
      <w:pPr>
        <w:spacing w:before="0" w:after="120"/>
      </w:pPr>
      <w:r>
        <w:rPr>
          <w:b w:val="0"/>
          <w:i w:val="0"/>
          <w:sz w:val="21"/>
        </w:rPr>
        <w:t>Este esquema es equivalente en OpenCV y en MATLAB. En MATLAB, la función trainCascadeObjectDetector recibe una tabla de muestras positivas con sus regiones y una carpeta de imágenes negativas, mientras que el parámetro NegativeSamplesFactor controla la proporción. En ambos casos el resultado es un clasificador almacenado en formato XML.</w:t>
      </w:r>
    </w:p>
    <w:p>
      <w:pPr>
        <w:spacing w:before="160" w:after="40"/>
      </w:pPr>
      <w:r>
        <w:rPr>
          <w:b/>
          <w:color w:val="222834"/>
          <w:sz w:val="22"/>
        </w:rPr>
        <w:t>Herramientas y consideración práctica</w:t>
      </w:r>
    </w:p>
    <w:p>
      <w:pPr>
        <w:pStyle w:val="ListBullet"/>
        <w:spacing w:after="60"/>
      </w:pPr>
      <w:r>
        <w:rPr>
          <w:sz w:val="21"/>
        </w:rPr>
        <w:t>En OpenCV, el flujo clásico emplea opencv_createsamples para generar el archivo .vec y opencv_traincascade para el entrenamiento, con parámetros como numPos, numNeg, numStages, minHitRate, maxFalseAlarmRate y featureType (HAAR, LBP o HOG).</w:t>
      </w:r>
    </w:p>
    <w:p>
      <w:pPr>
        <w:pStyle w:val="ListBullet"/>
        <w:spacing w:after="60"/>
      </w:pPr>
      <w:r>
        <w:rPr>
          <w:sz w:val="21"/>
        </w:rPr>
        <w:t>Estas dos utilidades se retiraron a partir de OpenCV 4.x. Para entrenar en la actualidad se recomienda emplear OpenCV 3.4, MATLAB, o bien utilizar clasificadores preentrenados, opción sugerida para esta actividad.</w:t>
      </w:r>
    </w:p>
    <w:p>
      <w:pPr>
        <w:pStyle w:val="ListBullet"/>
        <w:spacing w:after="60"/>
      </w:pPr>
      <w:r>
        <w:rPr>
          <w:sz w:val="21"/>
        </w:rPr>
        <w:t>El número de muestras positivas por etapa se estima con la expresión numPos = ⌊ totalPos / (1 + (numStages − 1)(1 − TPR)) ⌋, en la que se reserva un margen porque en cada etapa se descartan algunas muestras.</w:t>
      </w:r>
    </w:p>
    <w:p>
      <w:pPr>
        <w:pStyle w:val="ListBullet"/>
        <w:spacing w:after="60"/>
      </w:pPr>
      <w:r>
        <w:rPr>
          <w:sz w:val="21"/>
        </w:rPr>
        <w:t>El conjunto de datos puede ampliarse mediante rotaciones, adición de ruido gaussiano y variaciones de brillo o contraste.</w:t>
      </w:r>
    </w:p>
    <w:p>
      <w:pPr>
        <w:spacing w:before="160" w:after="40"/>
      </w:pPr>
      <w:r>
        <w:rPr>
          <w:b/>
          <w:color w:val="222834"/>
          <w:sz w:val="22"/>
        </w:rPr>
        <w:t>Recursos de referencia</w:t>
      </w:r>
    </w:p>
    <w:p>
      <w:pPr>
        <w:pStyle w:val="ListBullet"/>
        <w:spacing w:after="40"/>
      </w:pPr>
      <w:r>
        <w:rPr>
          <w:sz w:val="21"/>
        </w:rPr>
        <w:t xml:space="preserve">Clasificadores preentrenados de OpenCV (Haar y LBP): </w:t>
      </w:r>
      <w:hyperlink r:id="rId9">
        <w:r>
          <w:rPr>
            <w:color w:val="1155CC"/>
            <w:u w:val="single"/>
            <w:sz w:val="19"/>
          </w:rPr>
          <w:t>github.com/opencv/opencv/tree/master/data</w:t>
        </w:r>
      </w:hyperlink>
    </w:p>
    <w:p>
      <w:pPr>
        <w:pStyle w:val="ListBullet"/>
        <w:spacing w:after="40"/>
      </w:pPr>
      <w:r>
        <w:rPr>
          <w:sz w:val="21"/>
        </w:rPr>
        <w:t xml:space="preserve">Tutorial de entrenamiento de cascadas (OpenCV 3.4): </w:t>
      </w:r>
      <w:hyperlink r:id="rId10">
        <w:r>
          <w:rPr>
            <w:color w:val="1155CC"/>
            <w:u w:val="single"/>
            <w:sz w:val="19"/>
          </w:rPr>
          <w:t>docs.opencv.org/3.4 · tutorial_traincascade</w:t>
        </w:r>
      </w:hyperlink>
    </w:p>
    <w:p>
      <w:pPr>
        <w:pStyle w:val="ListBullet"/>
        <w:spacing w:after="40"/>
      </w:pPr>
      <w:r>
        <w:rPr>
          <w:sz w:val="21"/>
        </w:rPr>
        <w:t xml:space="preserve">Función trainCascadeObjectDetector (MATLAB): </w:t>
      </w:r>
      <w:hyperlink r:id="rId11">
        <w:r>
          <w:rPr>
            <w:color w:val="1155CC"/>
            <w:u w:val="single"/>
            <w:sz w:val="19"/>
          </w:rPr>
          <w:t>mathworks.com · trainCascadeObjectDetector</w:t>
        </w:r>
      </w:hyperlink>
    </w:p>
    <w:p>
      <w:pPr>
        <w:spacing w:before="280" w:after="80"/>
        <w:pBdr>
          <w:bottom w:val="single" w:sz="6" w:space="2" w:color="B87A00"/>
        </w:pBdr>
      </w:pPr>
      <w:r>
        <w:rPr>
          <w:b/>
          <w:color w:val="B87A00"/>
          <w:sz w:val="28"/>
        </w:rPr>
        <w:t>Conjuntos de datos por dominio</w:t>
      </w:r>
    </w:p>
    <w:p>
      <w:pPr>
        <w:spacing w:before="0" w:after="80"/>
      </w:pPr>
      <w:r>
        <w:rPr>
          <w:b w:val="0"/>
          <w:i/>
          <w:color w:val="555B66"/>
          <w:sz w:val="19"/>
        </w:rPr>
        <w:t>Cada perfil emplea el conjunto que corresponde a su dominio. Para las muestras negativas puede utilizarse cualquier colección de imágenes que no contenga el objeto de interés.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Dominio</w:t>
            </w:r>
          </w:p>
        </w:tc>
        <w:tc>
          <w:tcPr>
            <w:tcW w:type="dxa" w:w="2880"/>
          </w:tcPr>
          <w:p>
            <w:r/>
            <w:r>
              <w:rPr>
                <w:b/>
                <w:sz w:val="20"/>
              </w:rPr>
              <w:t>Conjunto de datos</w:t>
            </w:r>
          </w:p>
        </w:tc>
        <w:tc>
          <w:tcPr>
            <w:tcW w:type="dxa" w:w="2880"/>
          </w:tcPr>
          <w:p>
            <w:r/>
            <w:r>
              <w:rPr>
                <w:b/>
                <w:sz w:val="20"/>
              </w:rPr>
              <w:t>Enlace</w:t>
            </w:r>
          </w:p>
        </w:tc>
      </w:tr>
      <w:tr>
        <w:tc>
          <w:tcPr>
            <w:tcW w:type="dxa" w:w="2880"/>
          </w:tcPr>
          <w:p>
            <w:r>
              <w:rPr>
                <w:sz w:val="19"/>
              </w:rPr>
              <w:t>Rostros</w:t>
            </w:r>
          </w:p>
        </w:tc>
        <w:tc>
          <w:tcPr>
            <w:tcW w:type="dxa" w:w="2880"/>
          </w:tcPr>
          <w:p>
            <w:r>
              <w:rPr>
                <w:sz w:val="19"/>
              </w:rPr>
              <w:t>WIDER FACE</w:t>
            </w:r>
          </w:p>
        </w:tc>
        <w:tc>
          <w:tcPr>
            <w:tcW w:type="dxa" w:w="2880"/>
          </w:tcPr>
          <w:p>
            <w:hyperlink r:id="rId12">
              <w:r>
                <w:rPr>
                  <w:color w:val="1155CC"/>
                  <w:u w:val="single"/>
                  <w:sz w:val="19"/>
                </w:rPr>
                <w:t>shuoyang1213.me/WIDERFACE</w:t>
              </w:r>
            </w:hyperlink>
          </w:p>
        </w:tc>
      </w:tr>
      <w:tr>
        <w:tc>
          <w:tcPr>
            <w:tcW w:type="dxa" w:w="2880"/>
          </w:tcPr>
          <w:p>
            <w:r>
              <w:rPr>
                <w:sz w:val="19"/>
              </w:rPr>
              <w:t>Autos</w:t>
            </w:r>
          </w:p>
        </w:tc>
        <w:tc>
          <w:tcPr>
            <w:tcW w:type="dxa" w:w="2880"/>
          </w:tcPr>
          <w:p>
            <w:r>
              <w:rPr>
                <w:sz w:val="19"/>
              </w:rPr>
              <w:t>UIUC Image Database for Car Detection</w:t>
            </w:r>
          </w:p>
        </w:tc>
        <w:tc>
          <w:tcPr>
            <w:tcW w:type="dxa" w:w="2880"/>
          </w:tcPr>
          <w:p>
            <w:hyperlink r:id="rId13">
              <w:r>
                <w:rPr>
                  <w:color w:val="1155CC"/>
                  <w:u w:val="single"/>
                  <w:sz w:val="19"/>
                </w:rPr>
                <w:t>cogcomp.seas.upenn.edu/Data/Car</w:t>
              </w:r>
            </w:hyperlink>
          </w:p>
        </w:tc>
      </w:tr>
      <w:tr>
        <w:tc>
          <w:tcPr>
            <w:tcW w:type="dxa" w:w="2880"/>
          </w:tcPr>
          <w:p>
            <w:r>
              <w:rPr>
                <w:sz w:val="19"/>
              </w:rPr>
              <w:t>Mastografía</w:t>
            </w:r>
          </w:p>
        </w:tc>
        <w:tc>
          <w:tcPr>
            <w:tcW w:type="dxa" w:w="2880"/>
          </w:tcPr>
          <w:p>
            <w:r>
              <w:rPr>
                <w:sz w:val="19"/>
              </w:rPr>
              <w:t>CBIS-DDSM</w:t>
            </w:r>
          </w:p>
        </w:tc>
        <w:tc>
          <w:tcPr>
            <w:tcW w:type="dxa" w:w="2880"/>
          </w:tcPr>
          <w:p>
            <w:hyperlink r:id="rId14">
              <w:r>
                <w:rPr>
                  <w:color w:val="1155CC"/>
                  <w:u w:val="single"/>
                  <w:sz w:val="19"/>
                </w:rPr>
                <w:t>cancerimagingarchive.net · CBIS-DDSM</w:t>
              </w:r>
            </w:hyperlink>
          </w:p>
        </w:tc>
      </w:tr>
      <w:tr>
        <w:tc>
          <w:tcPr>
            <w:tcW w:type="dxa" w:w="2880"/>
          </w:tcPr>
          <w:p>
            <w:r>
              <w:rPr>
                <w:sz w:val="19"/>
              </w:rPr>
              <w:t>Diabetes (tabular)</w:t>
            </w:r>
          </w:p>
        </w:tc>
        <w:tc>
          <w:tcPr>
            <w:tcW w:type="dxa" w:w="2880"/>
          </w:tcPr>
          <w:p>
            <w:r>
              <w:rPr>
                <w:sz w:val="19"/>
              </w:rPr>
              <w:t>Pima Indians Diabetes</w:t>
            </w:r>
          </w:p>
        </w:tc>
        <w:tc>
          <w:tcPr>
            <w:tcW w:type="dxa" w:w="2880"/>
          </w:tcPr>
          <w:p>
            <w:hyperlink r:id="rId15">
              <w:r>
                <w:rPr>
                  <w:color w:val="1155CC"/>
                  <w:u w:val="single"/>
                  <w:sz w:val="19"/>
                </w:rPr>
                <w:t>kaggle.com · pima-indians-diabetes-database</w:t>
              </w:r>
            </w:hyperlink>
          </w:p>
        </w:tc>
      </w:tr>
    </w:tbl>
    <w:p>
      <w:pPr>
        <w:spacing w:before="0" w:after="120"/>
      </w:pPr>
    </w:p>
    <w:p>
      <w:pPr>
        <w:spacing w:before="280" w:after="80"/>
        <w:pBdr>
          <w:bottom w:val="single" w:sz="6" w:space="2" w:color="B87A00"/>
        </w:pBdr>
      </w:pPr>
      <w:r>
        <w:rPr>
          <w:b/>
          <w:color w:val="B87A00"/>
          <w:sz w:val="28"/>
        </w:rPr>
        <w:t>Perfil 1: Red IoT para datos médicos (Raspberry Pi)</w:t>
      </w:r>
    </w:p>
    <w:p>
      <w:pPr>
        <w:spacing w:before="20" w:after="80"/>
      </w:pPr>
      <w:r>
        <w:rPr>
          <w:i/>
          <w:color w:val="555B66"/>
          <w:sz w:val="21"/>
        </w:rPr>
        <w:t>Detección eficiente en el borde: comparación entre cascada Haar y cascada LBP</w:t>
      </w:r>
    </w:p>
    <w:p>
      <w:pPr>
        <w:spacing w:before="0" w:after="120"/>
      </w:pPr>
      <w:r>
        <w:rPr>
          <w:b w:val="0"/>
          <w:i w:val="0"/>
          <w:sz w:val="21"/>
        </w:rPr>
        <w:t>El objetivo es evaluar qué clasificador en cascada resulta viable en una Raspberry Pi con recursos limitados y aprovechar la detección como una representación compacta. En lugar de transmitir la imagen completa, el nodo emisor envía únicamente la región detectada y sus coordenadas.</w:t>
      </w:r>
    </w:p>
    <w:p>
      <w:pPr>
        <w:spacing w:before="160" w:after="40"/>
      </w:pPr>
      <w:r>
        <w:rPr>
          <w:b/>
          <w:color w:val="222834"/>
          <w:sz w:val="22"/>
        </w:rPr>
        <w:t>Actividad</w:t>
      </w:r>
    </w:p>
    <w:p>
      <w:pPr>
        <w:pStyle w:val="ListBullet"/>
        <w:spacing w:after="60"/>
      </w:pPr>
      <w:r>
        <w:rPr>
          <w:sz w:val="21"/>
        </w:rPr>
        <w:t>Cargar la imagen en escala de grises y, de manera opcional, aplicar un realce previo (CLAHE) visto en la sesión sobre preprocesamiento.</w:t>
      </w:r>
    </w:p>
    <w:p>
      <w:pPr>
        <w:pStyle w:val="ListBullet"/>
        <w:spacing w:after="60"/>
      </w:pPr>
      <w:r>
        <w:rPr>
          <w:sz w:val="21"/>
        </w:rPr>
        <w:t>Detectar el objeto con un clasificador preentrenado de rostro y de ojos, y comparar las variantes Haar y LBP del mismo objeto.</w:t>
      </w:r>
    </w:p>
    <w:p>
      <w:pPr>
        <w:pStyle w:val="ListBullet"/>
        <w:spacing w:after="60"/>
      </w:pPr>
      <w:r>
        <w:rPr>
          <w:sz w:val="21"/>
        </w:rPr>
        <w:t>De forma opcional, entrenar una cascada LBP propia con imágenes de rostros del conjunto WIDER FACE y un conjunto de imágenes negativas de fondo.</w:t>
      </w:r>
    </w:p>
    <w:p>
      <w:pPr>
        <w:spacing w:before="160" w:after="40"/>
      </w:pPr>
      <w:r>
        <w:rPr>
          <w:b/>
          <w:color w:val="222834"/>
          <w:sz w:val="22"/>
        </w:rPr>
        <w:t>Consideración de eficiencia</w:t>
      </w:r>
    </w:p>
    <w:p>
      <w:pPr>
        <w:spacing w:before="0" w:after="80"/>
      </w:pPr>
      <w:r>
        <w:rPr>
          <w:b w:val="0"/>
          <w:i w:val="0"/>
          <w:sz w:val="21"/>
        </w:rPr>
        <w:t>Se compara sobre la Raspberry Pi en tres ejes: cuadros por segundo (tiempo por imagen), uso de CPU y memoria, y aciertos frente a falsos positivos. Debe argumentarse por qué una cascada LBP, basada en aritmética entera, suele resultar preferible en plataformas embebidas frente a Haar, que opera con valores en punto flotante, y qué precisión se sacrifica a cambio.</w:t>
      </w:r>
    </w:p>
    <w:p>
      <w:pPr>
        <w:spacing w:before="160" w:after="40"/>
      </w:pPr>
      <w:r>
        <w:rPr>
          <w:b/>
          <w:color w:val="222834"/>
          <w:sz w:val="22"/>
        </w:rPr>
        <w:t>Entregables</w:t>
      </w:r>
    </w:p>
    <w:p>
      <w:pPr>
        <w:spacing w:before="0" w:after="160"/>
      </w:pPr>
      <w:r>
        <w:rPr>
          <w:b w:val="0"/>
          <w:i w:val="0"/>
          <w:sz w:val="21"/>
        </w:rPr>
        <w:t>Código del proceso de detección y recorte de la región; tabla comparativa entre Haar y LBP con cuadros por segundo, uso de CPU y aciertos en la Raspberry Pi; imágenes con las detecciones dibujadas; y una discusión sobre el compromiso entre precisión, velocidad y peso del mensaje en la plataforma objetivo. Conjunto de datos: WIDER FACE.</w:t>
      </w:r>
    </w:p>
    <w:p>
      <w:pPr>
        <w:spacing w:before="280" w:after="80"/>
        <w:pBdr>
          <w:bottom w:val="single" w:sz="6" w:space="2" w:color="B87A00"/>
        </w:pBdr>
      </w:pPr>
      <w:r>
        <w:rPr>
          <w:b/>
          <w:color w:val="B87A00"/>
          <w:sz w:val="28"/>
        </w:rPr>
        <w:t>Perfil 2: Detección de anomalías en mastografía</w:t>
      </w:r>
    </w:p>
    <w:p>
      <w:pPr>
        <w:spacing w:before="20" w:after="80"/>
      </w:pPr>
      <w:r>
        <w:rPr>
          <w:i/>
          <w:color w:val="555B66"/>
          <w:sz w:val="21"/>
        </w:rPr>
        <w:t>La cascada como proponente de regiones de interés en imagen de bajo contraste y análisis de sus límites</w:t>
      </w:r>
    </w:p>
    <w:p>
      <w:pPr>
        <w:spacing w:before="0" w:after="120"/>
      </w:pPr>
      <w:r>
        <w:rPr>
          <w:b w:val="0"/>
          <w:i w:val="0"/>
          <w:sz w:val="21"/>
        </w:rPr>
        <w:t>El algoritmo de Viola-Jones fue concebido para objetos con una relación de aspecto estable, no para lesiones poco frecuentes y de bajo contraste. La actividad emplea una cascada como proponente de una región de interés aproximada, por ejemplo la región de la mama o el músculo pectoral, y analiza las razones por las que la técnica presenta limitaciones en este dominio.</w:t>
      </w:r>
    </w:p>
    <w:p>
      <w:pPr>
        <w:spacing w:before="160" w:after="40"/>
      </w:pPr>
      <w:r>
        <w:rPr>
          <w:b/>
          <w:color w:val="222834"/>
          <w:sz w:val="22"/>
        </w:rPr>
        <w:t>Actividad</w:t>
      </w:r>
    </w:p>
    <w:p>
      <w:pPr>
        <w:pStyle w:val="ListBullet"/>
        <w:spacing w:after="60"/>
      </w:pPr>
      <w:r>
        <w:rPr>
          <w:sz w:val="21"/>
        </w:rPr>
        <w:t>Aplicar un realce de contraste (CLAHE) y utilizar una cascada, preentrenada o propia, para proponer una región de interés sobre la mamografía.</w:t>
      </w:r>
    </w:p>
    <w:p>
      <w:pPr>
        <w:pStyle w:val="ListBullet"/>
        <w:spacing w:after="60"/>
      </w:pPr>
      <w:r>
        <w:rPr>
          <w:sz w:val="21"/>
        </w:rPr>
        <w:t>Comparar la detección con y sin el realce de contraste previo, así como las variantes Haar y LBP.</w:t>
      </w:r>
    </w:p>
    <w:p>
      <w:pPr>
        <w:pStyle w:val="ListBullet"/>
        <w:spacing w:after="60"/>
      </w:pPr>
      <w:r>
        <w:rPr>
          <w:sz w:val="21"/>
        </w:rPr>
        <w:t>Explicar por qué el bajo contraste, la textura densa y la escasa frecuencia del objeto degradan el desempeño de una cascada, y por qué un detector basado en redes convolucionales resulta más adecuado.</w:t>
      </w:r>
    </w:p>
    <w:p>
      <w:pPr>
        <w:spacing w:before="160" w:after="40"/>
      </w:pPr>
      <w:r>
        <w:rPr>
          <w:b/>
          <w:color w:val="222834"/>
          <w:sz w:val="22"/>
        </w:rPr>
        <w:t>Consideración de robustez</w:t>
      </w:r>
    </w:p>
    <w:p>
      <w:pPr>
        <w:spacing w:before="0" w:after="80"/>
      </w:pPr>
      <w:r>
        <w:rPr>
          <w:b w:val="0"/>
          <w:i w:val="0"/>
          <w:sz w:val="21"/>
        </w:rPr>
        <w:t>Se reporta cómo varían las detecciones y los falsos positivos con y sin realce, y en tejido denso frente a tejido graso. La cascada debe entenderse como una etapa de tamizaje de bajo costo, no como el detector final.</w:t>
      </w:r>
    </w:p>
    <w:p>
      <w:pPr>
        <w:spacing w:before="160" w:after="40"/>
      </w:pPr>
      <w:r>
        <w:rPr>
          <w:b/>
          <w:color w:val="222834"/>
          <w:sz w:val="22"/>
        </w:rPr>
        <w:t>Entregables</w:t>
      </w:r>
    </w:p>
    <w:p>
      <w:pPr>
        <w:spacing w:before="0" w:after="160"/>
      </w:pPr>
      <w:r>
        <w:rPr>
          <w:b w:val="0"/>
          <w:i w:val="0"/>
          <w:sz w:val="21"/>
        </w:rPr>
        <w:t>Visualizaciones comparativas (imagen original, imagen realzada y región propuesta); tabla con detecciones y falsos positivos (con y sin realce, Haar frente a LBP); una explicación conceptual de los supuestos del algoritmo; y una discusión sobre sus límites en imagen médica frente a un enfoque basado en aprendizaje profundo. Conjunto de datos: CBIS-DDSM.</w:t>
      </w:r>
    </w:p>
    <w:p>
      <w:pPr>
        <w:spacing w:before="280" w:after="80"/>
        <w:pBdr>
          <w:bottom w:val="single" w:sz="6" w:space="2" w:color="B87A00"/>
        </w:pBdr>
      </w:pPr>
      <w:r>
        <w:rPr>
          <w:b/>
          <w:color w:val="B87A00"/>
          <w:sz w:val="28"/>
        </w:rPr>
        <w:t>Perfil 3: Reconstrucción 3D para ADAS</w:t>
      </w:r>
    </w:p>
    <w:p>
      <w:pPr>
        <w:spacing w:before="20" w:after="80"/>
      </w:pPr>
      <w:r>
        <w:rPr>
          <w:i/>
          <w:color w:val="555B66"/>
          <w:sz w:val="21"/>
        </w:rPr>
        <w:t>Detección de vehículos como región de interés previa a la etapa estéreo</w:t>
      </w:r>
    </w:p>
    <w:p>
      <w:pPr>
        <w:spacing w:before="0" w:after="120"/>
      </w:pPr>
      <w:r>
        <w:rPr>
          <w:b w:val="0"/>
          <w:i w:val="0"/>
          <w:sz w:val="21"/>
        </w:rPr>
        <w:t>Las cascadas proporcionan una propuesta rápida de regiones, es decir, dónde se encuentra un vehículo, que acota la búsqueda de correspondencias en la etapa estéreo. Se compara la característica más adecuada según el tipo de objeto.</w:t>
      </w:r>
    </w:p>
    <w:p>
      <w:pPr>
        <w:spacing w:before="160" w:after="40"/>
      </w:pPr>
      <w:r>
        <w:rPr>
          <w:b/>
          <w:color w:val="222834"/>
          <w:sz w:val="22"/>
        </w:rPr>
        <w:t>Actividad</w:t>
      </w:r>
    </w:p>
    <w:p>
      <w:pPr>
        <w:pStyle w:val="ListBullet"/>
        <w:spacing w:after="60"/>
      </w:pPr>
      <w:r>
        <w:rPr>
          <w:sz w:val="21"/>
        </w:rPr>
        <w:t>Detectar vehículos mediante una cascada Haar o LBP sobre el conjunto UIUC de detección de autos.</w:t>
      </w:r>
    </w:p>
    <w:p>
      <w:pPr>
        <w:pStyle w:val="ListBullet"/>
        <w:spacing w:after="60"/>
      </w:pPr>
      <w:r>
        <w:rPr>
          <w:sz w:val="21"/>
        </w:rPr>
        <w:t>Detectar peatones con el descriptor HOG y el detector de personas incluido en OpenCV (cv2.HOGDescriptor), que no requiere descargar datos para la inferencia.</w:t>
      </w:r>
    </w:p>
    <w:p>
      <w:pPr>
        <w:pStyle w:val="ListBullet"/>
        <w:spacing w:after="60"/>
      </w:pPr>
      <w:r>
        <w:rPr>
          <w:sz w:val="21"/>
        </w:rPr>
        <w:t>Evaluar el desempeño en tres condiciones de iluminación (día, atardecer y noche), de forma análoga a la actividad anterior.</w:t>
      </w:r>
    </w:p>
    <w:p>
      <w:pPr>
        <w:pStyle w:val="ListBullet"/>
        <w:spacing w:after="60"/>
      </w:pPr>
      <w:r>
        <w:rPr>
          <w:sz w:val="21"/>
        </w:rPr>
        <w:t>Explicar por qué HOG, orientado a la silueta, se ajusta mejor a peatones y vehículos que Haar, orientado al contraste fino, y qué implica esto para la etapa de triangulación.</w:t>
      </w:r>
    </w:p>
    <w:p>
      <w:pPr>
        <w:spacing w:before="160" w:after="40"/>
      </w:pPr>
      <w:r>
        <w:rPr>
          <w:b/>
          <w:color w:val="222834"/>
          <w:sz w:val="22"/>
        </w:rPr>
        <w:t>Consideración de robustez</w:t>
      </w:r>
    </w:p>
    <w:p>
      <w:pPr>
        <w:spacing w:before="0" w:after="80"/>
      </w:pPr>
      <w:r>
        <w:rPr>
          <w:b w:val="0"/>
          <w:i w:val="0"/>
          <w:sz w:val="21"/>
        </w:rPr>
        <w:t>Se reportan las detecciones correctas, los falsos positivos y el tiempo por condición y por método, y se indica en qué condición se degrada más el desempeño y por qué.</w:t>
      </w:r>
    </w:p>
    <w:p>
      <w:pPr>
        <w:spacing w:before="160" w:after="40"/>
      </w:pPr>
      <w:r>
        <w:rPr>
          <w:b/>
          <w:color w:val="222834"/>
          <w:sz w:val="22"/>
        </w:rPr>
        <w:t>Entregables</w:t>
      </w:r>
    </w:p>
    <w:p>
      <w:pPr>
        <w:spacing w:before="0" w:after="160"/>
      </w:pPr>
      <w:r>
        <w:rPr>
          <w:b w:val="0"/>
          <w:i w:val="0"/>
          <w:sz w:val="21"/>
        </w:rPr>
        <w:t>Código de detección; imágenes con las detecciones en las tres condiciones de iluminación; tabla comparativa entre HOG y cascada (detecciones, falsos positivos y tiempo); y una nota sobre cómo estas regiones de interés acotan la correspondencia estéreo. Conjunto de datos: UIUC Image Database for Car Detection.</w:t>
      </w:r>
    </w:p>
    <w:p>
      <w:pPr>
        <w:spacing w:before="280" w:after="80"/>
        <w:pBdr>
          <w:bottom w:val="single" w:sz="6" w:space="2" w:color="B87A00"/>
        </w:pBdr>
      </w:pPr>
      <w:r>
        <w:rPr>
          <w:b/>
          <w:color w:val="B87A00"/>
          <w:sz w:val="28"/>
        </w:rPr>
        <w:t>Perfil 4: Análisis de YOLO en plataformas ARM</w:t>
      </w:r>
    </w:p>
    <w:p>
      <w:pPr>
        <w:spacing w:before="20" w:after="80"/>
      </w:pPr>
      <w:r>
        <w:rPr>
          <w:i/>
          <w:color w:val="555B66"/>
          <w:sz w:val="21"/>
        </w:rPr>
        <w:t>Costo de cómputo de las cascadas clásicas frente al proceso de inferencia</w:t>
      </w:r>
    </w:p>
    <w:p>
      <w:pPr>
        <w:spacing w:before="0" w:after="120"/>
      </w:pPr>
      <w:r>
        <w:rPr>
          <w:b w:val="0"/>
          <w:i w:val="0"/>
          <w:sz w:val="21"/>
        </w:rPr>
        <w:t>La práctica se centra en el costo de cómputo. Se perfilan las cascadas Haar, LBP y HOG en la plataforma ARM para obtener un punto de comparación clásico frente al costo de la inferencia de YOLO.</w:t>
      </w:r>
    </w:p>
    <w:p>
      <w:pPr>
        <w:spacing w:before="160" w:after="40"/>
      </w:pPr>
      <w:r>
        <w:rPr>
          <w:b/>
          <w:color w:val="222834"/>
          <w:sz w:val="22"/>
        </w:rPr>
        <w:t>Actividad</w:t>
      </w:r>
    </w:p>
    <w:p>
      <w:pPr>
        <w:pStyle w:val="ListBullet"/>
        <w:spacing w:after="60"/>
      </w:pPr>
      <w:r>
        <w:rPr>
          <w:sz w:val="21"/>
        </w:rPr>
        <w:t>Medir en la plataforma ARM el tiempo por imagen de las variantes Haar, LBP y HOG, variando la resolución de entrada y parámetros como el número de etapas, scaleFactor y minNeighbors.</w:t>
      </w:r>
    </w:p>
    <w:p>
      <w:pPr>
        <w:pStyle w:val="ListBullet"/>
        <w:spacing w:after="60"/>
      </w:pPr>
      <w:r>
        <w:rPr>
          <w:sz w:val="21"/>
        </w:rPr>
        <w:t>Cuantificar el efecto del rechazo temprano, comparando el tiempo en imágenes de fondo frente a imágenes con múltiples objetos.</w:t>
      </w:r>
    </w:p>
    <w:p>
      <w:pPr>
        <w:pStyle w:val="ListBullet"/>
        <w:spacing w:after="60"/>
      </w:pPr>
      <w:r>
        <w:rPr>
          <w:sz w:val="21"/>
        </w:rPr>
        <w:t>Comparar el orden de magnitud de estos costos con el de la inferencia de YOLO en la misma placa.</w:t>
      </w:r>
    </w:p>
    <w:p>
      <w:pPr>
        <w:spacing w:before="160" w:after="40"/>
      </w:pPr>
      <w:r>
        <w:rPr>
          <w:b/>
          <w:color w:val="222834"/>
          <w:sz w:val="22"/>
        </w:rPr>
        <w:t>Consideración de eficiencia</w:t>
      </w:r>
    </w:p>
    <w:p>
      <w:pPr>
        <w:spacing w:before="0" w:after="80"/>
      </w:pPr>
      <w:r>
        <w:rPr>
          <w:b w:val="0"/>
          <w:i w:val="0"/>
          <w:sz w:val="21"/>
        </w:rPr>
        <w:t>Se analiza el modelo de costo esperado de la cascada, dominado por las primeras etapas y por el número medio de características evaluadas por ventana, así como las etapas susceptibles de paralelización o vectorización (NEON), aunque no se implementen.</w:t>
      </w:r>
    </w:p>
    <w:p>
      <w:pPr>
        <w:spacing w:before="160" w:after="40"/>
      </w:pPr>
      <w:r>
        <w:rPr>
          <w:b/>
          <w:color w:val="222834"/>
          <w:sz w:val="22"/>
        </w:rPr>
        <w:t>Entregables</w:t>
      </w:r>
    </w:p>
    <w:p>
      <w:pPr>
        <w:spacing w:before="0" w:after="160"/>
      </w:pPr>
      <w:r>
        <w:rPr>
          <w:b w:val="0"/>
          <w:i w:val="0"/>
          <w:sz w:val="21"/>
        </w:rPr>
        <w:t>Script de evaluación reproducible; tablas de tiempos en la plataforma ARM para Haar, LBP y HOG, variando resolución y número de etapas; gráficas de escalado y del efecto del rechazo temprano; y una discusión que relacione estos costos con el de YOLO y con la elección de detector para tiempo real en ARM. Conjunto de datos: WIDER FACE, junto con el detector de personas incluido en OpenCV.</w:t>
      </w:r>
    </w:p>
    <w:p>
      <w:pPr>
        <w:spacing w:before="280" w:after="80"/>
        <w:pBdr>
          <w:bottom w:val="single" w:sz="6" w:space="2" w:color="B87A00"/>
        </w:pBdr>
      </w:pPr>
      <w:r>
        <w:rPr>
          <w:b/>
          <w:color w:val="B87A00"/>
          <w:sz w:val="28"/>
        </w:rPr>
        <w:t>Perfil 5: Indicadores clínicos de diabetes con aprendizaje profundo</w:t>
      </w:r>
    </w:p>
    <w:p>
      <w:pPr>
        <w:spacing w:before="20" w:after="80"/>
      </w:pPr>
      <w:r>
        <w:rPr>
          <w:i/>
          <w:color w:val="555B66"/>
          <w:sz w:val="21"/>
        </w:rPr>
        <w:t>Del rechazo en cascada de Viola-Jones al boosting sobre datos tabulares</w:t>
      </w:r>
    </w:p>
    <w:p>
      <w:pPr>
        <w:spacing w:before="0" w:after="120"/>
      </w:pPr>
      <w:r>
        <w:rPr>
          <w:b w:val="0"/>
          <w:i w:val="0"/>
          <w:sz w:val="21"/>
        </w:rPr>
        <w:t>Este perfil no procesa imágenes. Traslada el núcleo del algoritmo de Viola-Jones, es decir, el boosting de clasificadores débiles y la cascada con rechazo temprano, a datos tabulares de indicadores de diabetes, y prepara el terreno para los modelos de la tesis del estudiante. Puede apoyarse en scikit-learn, sin implementar nada desde cero.</w:t>
      </w:r>
    </w:p>
    <w:p>
      <w:pPr>
        <w:spacing w:before="160" w:after="40"/>
      </w:pPr>
      <w:r>
        <w:rPr>
          <w:b/>
          <w:color w:val="222834"/>
          <w:sz w:val="22"/>
        </w:rPr>
        <w:t>Actividad</w:t>
      </w:r>
    </w:p>
    <w:p>
      <w:pPr>
        <w:pStyle w:val="ListBullet"/>
        <w:spacing w:after="60"/>
      </w:pPr>
      <w:r>
        <w:rPr>
          <w:sz w:val="21"/>
        </w:rPr>
        <w:t>Entrenar un modelo AdaBoost con decision stumps, análogos a los clasificadores débiles basados en Haar, sobre el conjunto Pima, e identificar qué indicadores selecciona primero y con qué peso.</w:t>
      </w:r>
    </w:p>
    <w:p>
      <w:pPr>
        <w:pStyle w:val="ListBullet"/>
        <w:spacing w:after="60"/>
      </w:pPr>
      <w:r>
        <w:rPr>
          <w:sz w:val="21"/>
        </w:rPr>
        <w:t>Construir una cascada de dos o tres etapas que rechace de forma temprana los casos negativos evidentes (tamizaje de bajo costo) y que solo transfiera los casos dudosos a etapas más costosas.</w:t>
      </w:r>
    </w:p>
    <w:p>
      <w:pPr>
        <w:pStyle w:val="ListBullet"/>
        <w:spacing w:after="60"/>
      </w:pPr>
      <w:r>
        <w:rPr>
          <w:sz w:val="21"/>
        </w:rPr>
        <w:t>Relacionar el enfoque con la tesis, comparando el boosting como conjunto de clasificadores con el paradigma de redes convolucionales 1D y LSTM, y el papel de la selección de características.</w:t>
      </w:r>
    </w:p>
    <w:p>
      <w:pPr>
        <w:spacing w:before="160" w:after="40"/>
      </w:pPr>
      <w:r>
        <w:rPr>
          <w:b/>
          <w:color w:val="222834"/>
          <w:sz w:val="22"/>
        </w:rPr>
        <w:t>Consideración de datos</w:t>
      </w:r>
    </w:p>
    <w:p>
      <w:pPr>
        <w:spacing w:before="0" w:after="80"/>
      </w:pPr>
      <w:r>
        <w:rPr>
          <w:b w:val="0"/>
          <w:i w:val="0"/>
          <w:sz w:val="21"/>
        </w:rPr>
        <w:t>Se documenta el preprocesamiento (normalización y tratamiento de valores faltantes) para garantizar la reproducibilidad, y se mide el compromiso entre costo y sensibilidad al añadir etapas a la cascada tabular.</w:t>
      </w:r>
    </w:p>
    <w:p>
      <w:pPr>
        <w:spacing w:before="160" w:after="40"/>
      </w:pPr>
      <w:r>
        <w:rPr>
          <w:b/>
          <w:color w:val="222834"/>
          <w:sz w:val="22"/>
        </w:rPr>
        <w:t>Entregables</w:t>
      </w:r>
    </w:p>
    <w:p>
      <w:pPr>
        <w:spacing w:before="0" w:after="160"/>
      </w:pPr>
      <w:r>
        <w:rPr>
          <w:b w:val="0"/>
          <w:i w:val="0"/>
          <w:sz w:val="21"/>
        </w:rPr>
        <w:t>Código de AdaBoost y de la cascada tabular; gráfica del orden e importancia de las características seleccionadas; curva de costo (características evaluadas) frente a sensibilidad por etapa; y una discusión que trace el paralelismo con el algoritmo de Viola-Jones y con el paradigma de aprendizaje profundo. Conjunto de datos: Pima Indians Diabetes.</w:t>
      </w:r>
    </w:p>
    <w:p>
      <w:pPr>
        <w:spacing w:before="280" w:after="80"/>
        <w:pBdr>
          <w:bottom w:val="single" w:sz="6" w:space="2" w:color="B87A00"/>
        </w:pBdr>
      </w:pPr>
      <w:r>
        <w:rPr>
          <w:b/>
          <w:color w:val="B87A00"/>
          <w:sz w:val="28"/>
        </w:rPr>
        <w:t>Rúbrica de evaluación (común a las cinco actividades)</w:t>
      </w:r>
    </w:p>
    <w:p>
      <w:pPr>
        <w:spacing w:before="0" w:after="80"/>
      </w:pPr>
      <w:r>
        <w:rPr>
          <w:b w:val="0"/>
          <w:i/>
          <w:color w:val="555B66"/>
          <w:sz w:val="19"/>
        </w:rPr>
        <w:t>La escala por criterio es de 0 a 4. La calificación final pondera cada criterio según su peso.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rPr>
          <w:cantSplit/>
        </w:trPr>
        <w:tc>
          <w:tcPr>
            <w:tcW w:type="dxa" w:w="1872"/>
            <w:shd w:val="clear" w:fill="B87A00"/>
          </w:tcPr>
          <w:p>
            <w:r/>
            <w:r>
              <w:rPr>
                <w:b/>
                <w:color w:val="FFFFFF"/>
                <w:sz w:val="18"/>
              </w:rPr>
              <w:t>Criterio</w:t>
            </w:r>
          </w:p>
        </w:tc>
        <w:tc>
          <w:tcPr>
            <w:tcW w:type="dxa" w:w="1728"/>
            <w:shd w:val="clear" w:fill="B87A00"/>
          </w:tcPr>
          <w:p>
            <w:r/>
            <w:r>
              <w:rPr>
                <w:b/>
                <w:color w:val="FFFFFF"/>
                <w:sz w:val="18"/>
              </w:rPr>
              <w:t>Excelente (4)</w:t>
            </w:r>
          </w:p>
        </w:tc>
        <w:tc>
          <w:tcPr>
            <w:tcW w:type="dxa" w:w="1728"/>
            <w:shd w:val="clear" w:fill="B87A00"/>
          </w:tcPr>
          <w:p>
            <w:r/>
            <w:r>
              <w:rPr>
                <w:b/>
                <w:color w:val="FFFFFF"/>
                <w:sz w:val="18"/>
              </w:rPr>
              <w:t>Suficiente (2 a 3)</w:t>
            </w:r>
          </w:p>
        </w:tc>
        <w:tc>
          <w:tcPr>
            <w:tcW w:type="dxa" w:w="1728"/>
            <w:shd w:val="clear" w:fill="B87A00"/>
          </w:tcPr>
          <w:p>
            <w:r/>
            <w:r>
              <w:rPr>
                <w:b/>
                <w:color w:val="FFFFFF"/>
                <w:sz w:val="18"/>
              </w:rPr>
              <w:t>Insuficiente (0 a 1)</w:t>
            </w:r>
          </w:p>
        </w:tc>
        <w:tc>
          <w:tcPr>
            <w:tcW w:type="dxa" w:w="864"/>
            <w:shd w:val="clear" w:fill="B87A00"/>
          </w:tcPr>
          <w:p>
            <w:r/>
            <w:r>
              <w:rPr>
                <w:b/>
                <w:color w:val="FFFFFF"/>
                <w:sz w:val="18"/>
              </w:rPr>
              <w:t>Peso</w:t>
            </w:r>
          </w:p>
        </w:tc>
      </w:tr>
      <w:tr>
        <w:trPr>
          <w:cantSplit/>
        </w:trPr>
        <w:tc>
          <w:tcPr>
            <w:tcW w:type="dxa" w:w="1872"/>
          </w:tcPr>
          <w:p>
            <w:r/>
            <w:r>
              <w:rPr>
                <w:b/>
                <w:sz w:val="17"/>
              </w:rPr>
              <w:t>Corrección técnica</w:t>
            </w:r>
          </w:p>
        </w:tc>
        <w:tc>
          <w:tcPr>
            <w:tcW w:type="dxa" w:w="1728"/>
          </w:tcPr>
          <w:p>
            <w:r/>
            <w:r>
              <w:rPr>
                <w:sz w:val="17"/>
              </w:rPr>
              <w:t>El detector se aplica correctamente y produce el resultado esperado sin errores.</w:t>
            </w:r>
          </w:p>
        </w:tc>
        <w:tc>
          <w:tcPr>
            <w:tcW w:type="dxa" w:w="1728"/>
          </w:tcPr>
          <w:p>
            <w:r/>
            <w:r>
              <w:rPr>
                <w:sz w:val="17"/>
              </w:rPr>
              <w:t>Se aplica con errores menores o resultados parcialmente correctos.</w:t>
            </w:r>
          </w:p>
        </w:tc>
        <w:tc>
          <w:tcPr>
            <w:tcW w:type="dxa" w:w="1728"/>
          </w:tcPr>
          <w:p>
            <w:r/>
            <w:r>
              <w:rPr>
                <w:sz w:val="17"/>
              </w:rPr>
              <w:t>No se aplica o el resultado es incorrecto.</w:t>
            </w:r>
          </w:p>
        </w:tc>
        <w:tc>
          <w:tcPr>
            <w:tcW w:type="dxa" w:w="864"/>
          </w:tcPr>
          <w:p>
            <w:r/>
            <w:r>
              <w:rPr>
                <w:sz w:val="17"/>
              </w:rPr>
              <w:t>30%</w:t>
            </w:r>
          </w:p>
        </w:tc>
      </w:tr>
      <w:tr>
        <w:trPr>
          <w:cantSplit/>
        </w:trPr>
        <w:tc>
          <w:tcPr>
            <w:tcW w:type="dxa" w:w="1872"/>
          </w:tcPr>
          <w:p>
            <w:r/>
            <w:r>
              <w:rPr>
                <w:b/>
                <w:sz w:val="17"/>
              </w:rPr>
              <w:t>Dominio conceptual</w:t>
            </w:r>
          </w:p>
        </w:tc>
        <w:tc>
          <w:tcPr>
            <w:tcW w:type="dxa" w:w="1728"/>
          </w:tcPr>
          <w:p>
            <w:r/>
            <w:r>
              <w:rPr>
                <w:sz w:val="17"/>
              </w:rPr>
              <w:t>Explica con precisión el algoritmo de Viola-Jones (Haar, imagen integral, boosting y cascada) y por qué la característica elegida aplica a su dominio.</w:t>
            </w:r>
          </w:p>
        </w:tc>
        <w:tc>
          <w:tcPr>
            <w:tcW w:type="dxa" w:w="1728"/>
          </w:tcPr>
          <w:p>
            <w:r/>
            <w:r>
              <w:rPr>
                <w:sz w:val="17"/>
              </w:rPr>
              <w:t>Explica de forma general, con imprecisiones o sin conectar con el dominio.</w:t>
            </w:r>
          </w:p>
        </w:tc>
        <w:tc>
          <w:tcPr>
            <w:tcW w:type="dxa" w:w="1728"/>
          </w:tcPr>
          <w:p>
            <w:r/>
            <w:r>
              <w:rPr>
                <w:sz w:val="17"/>
              </w:rPr>
              <w:t>No explica o los conceptos son erróneos.</w:t>
            </w:r>
          </w:p>
        </w:tc>
        <w:tc>
          <w:tcPr>
            <w:tcW w:type="dxa" w:w="864"/>
          </w:tcPr>
          <w:p>
            <w:r/>
            <w:r>
              <w:rPr>
                <w:sz w:val="17"/>
              </w:rPr>
              <w:t>25%</w:t>
            </w:r>
          </w:p>
        </w:tc>
      </w:tr>
      <w:tr>
        <w:trPr>
          <w:cantSplit/>
        </w:trPr>
        <w:tc>
          <w:tcPr>
            <w:tcW w:type="dxa" w:w="1872"/>
          </w:tcPr>
          <w:p>
            <w:r/>
            <w:r>
              <w:rPr>
                <w:b/>
                <w:sz w:val="17"/>
              </w:rPr>
              <w:t>Análisis y comparación</w:t>
            </w:r>
          </w:p>
        </w:tc>
        <w:tc>
          <w:tcPr>
            <w:tcW w:type="dxa" w:w="1728"/>
          </w:tcPr>
          <w:p>
            <w:r/>
            <w:r>
              <w:rPr>
                <w:sz w:val="17"/>
              </w:rPr>
              <w:t>Compara métodos o condiciones con evidencia (detecciones, falsos positivos y tiempos) y extrae conclusiones válidas.</w:t>
            </w:r>
          </w:p>
        </w:tc>
        <w:tc>
          <w:tcPr>
            <w:tcW w:type="dxa" w:w="1728"/>
          </w:tcPr>
          <w:p>
            <w:r/>
            <w:r>
              <w:rPr>
                <w:sz w:val="17"/>
              </w:rPr>
              <w:t>Comparación superficial o sin conclusiones claras.</w:t>
            </w:r>
          </w:p>
        </w:tc>
        <w:tc>
          <w:tcPr>
            <w:tcW w:type="dxa" w:w="1728"/>
          </w:tcPr>
          <w:p>
            <w:r/>
            <w:r>
              <w:rPr>
                <w:sz w:val="17"/>
              </w:rPr>
              <w:t>No presenta comparación ni análisis.</w:t>
            </w:r>
          </w:p>
        </w:tc>
        <w:tc>
          <w:tcPr>
            <w:tcW w:type="dxa" w:w="864"/>
          </w:tcPr>
          <w:p>
            <w:r/>
            <w:r>
              <w:rPr>
                <w:sz w:val="17"/>
              </w:rPr>
              <w:t>20%</w:t>
            </w:r>
          </w:p>
        </w:tc>
      </w:tr>
      <w:tr>
        <w:trPr>
          <w:cantSplit/>
        </w:trPr>
        <w:tc>
          <w:tcPr>
            <w:tcW w:type="dxa" w:w="1872"/>
          </w:tcPr>
          <w:p>
            <w:r/>
            <w:r>
              <w:rPr>
                <w:b/>
                <w:sz w:val="17"/>
              </w:rPr>
              <w:t>Evidencia y visualizaciones</w:t>
            </w:r>
          </w:p>
        </w:tc>
        <w:tc>
          <w:tcPr>
            <w:tcW w:type="dxa" w:w="1728"/>
          </w:tcPr>
          <w:p>
            <w:r/>
            <w:r>
              <w:rPr>
                <w:sz w:val="17"/>
              </w:rPr>
              <w:t>Entrega visualizaciones claras y rotuladas que sustentan cada afirmación.</w:t>
            </w:r>
          </w:p>
        </w:tc>
        <w:tc>
          <w:tcPr>
            <w:tcW w:type="dxa" w:w="1728"/>
          </w:tcPr>
          <w:p>
            <w:r/>
            <w:r>
              <w:rPr>
                <w:sz w:val="17"/>
              </w:rPr>
              <w:t>Evidencia incompleta o poco clara.</w:t>
            </w:r>
          </w:p>
        </w:tc>
        <w:tc>
          <w:tcPr>
            <w:tcW w:type="dxa" w:w="1728"/>
          </w:tcPr>
          <w:p>
            <w:r/>
            <w:r>
              <w:rPr>
                <w:sz w:val="17"/>
              </w:rPr>
              <w:t>Evidencia ausente o ilegible.</w:t>
            </w:r>
          </w:p>
        </w:tc>
        <w:tc>
          <w:tcPr>
            <w:tcW w:type="dxa" w:w="864"/>
          </w:tcPr>
          <w:p>
            <w:r/>
            <w:r>
              <w:rPr>
                <w:sz w:val="17"/>
              </w:rPr>
              <w:t>15%</w:t>
            </w:r>
          </w:p>
        </w:tc>
      </w:tr>
      <w:tr>
        <w:trPr>
          <w:cantSplit/>
        </w:trPr>
        <w:tc>
          <w:tcPr>
            <w:tcW w:type="dxa" w:w="1872"/>
          </w:tcPr>
          <w:p>
            <w:r/>
            <w:r>
              <w:rPr>
                <w:b/>
                <w:sz w:val="17"/>
              </w:rPr>
              <w:t>Reporte y reproducibilidad</w:t>
            </w:r>
          </w:p>
        </w:tc>
        <w:tc>
          <w:tcPr>
            <w:tcW w:type="dxa" w:w="1728"/>
          </w:tcPr>
          <w:p>
            <w:r/>
            <w:r>
              <w:rPr>
                <w:sz w:val="17"/>
              </w:rPr>
              <w:t>Reporte ordenado; el trabajo puede reproducirse con el código y el entorno documentados.</w:t>
            </w:r>
          </w:p>
        </w:tc>
        <w:tc>
          <w:tcPr>
            <w:tcW w:type="dxa" w:w="1728"/>
          </w:tcPr>
          <w:p>
            <w:r/>
            <w:r>
              <w:rPr>
                <w:sz w:val="17"/>
              </w:rPr>
              <w:t>Reporte comprensible pero difícil de reproducir.</w:t>
            </w:r>
          </w:p>
        </w:tc>
        <w:tc>
          <w:tcPr>
            <w:tcW w:type="dxa" w:w="1728"/>
          </w:tcPr>
          <w:p>
            <w:r/>
            <w:r>
              <w:rPr>
                <w:sz w:val="17"/>
              </w:rPr>
              <w:t>Reporte desordenado o no reproducible.</w:t>
            </w:r>
          </w:p>
        </w:tc>
        <w:tc>
          <w:tcPr>
            <w:tcW w:type="dxa" w:w="864"/>
          </w:tcPr>
          <w:p>
            <w:r/>
            <w:r>
              <w:rPr>
                <w:sz w:val="17"/>
              </w:rPr>
              <w:t>10%</w:t>
            </w:r>
          </w:p>
        </w:tc>
      </w:tr>
    </w:tbl>
    <w:p>
      <w:pPr>
        <w:spacing w:before="0" w:after="40"/>
      </w:pPr>
    </w:p>
    <w:p>
      <w:pPr>
        <w:spacing w:before="0" w:after="120"/>
      </w:pPr>
      <w:r>
        <w:rPr>
          <w:b w:val="0"/>
          <w:i/>
          <w:color w:val="555B66"/>
          <w:sz w:val="19"/>
        </w:rPr>
        <w:t>La calificación final es la suma ponderada de los cinco criterios sobre la escala de 4, normalizada a la escala del curso. La actividad se revisa en la sesión siguiente.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opencv/opencv/tree/master/data" TargetMode="External"/><Relationship Id="rId10" Type="http://schemas.openxmlformats.org/officeDocument/2006/relationships/hyperlink" Target="https://docs.opencv.org/3.4/dc/d88/tutorial_traincascade.html" TargetMode="External"/><Relationship Id="rId11" Type="http://schemas.openxmlformats.org/officeDocument/2006/relationships/hyperlink" Target="https://www.mathworks.com/help/vision/ref/traincascadeobjectdetector.html" TargetMode="External"/><Relationship Id="rId12" Type="http://schemas.openxmlformats.org/officeDocument/2006/relationships/hyperlink" Target="http://shuoyang1213.me/WIDERFACE/" TargetMode="External"/><Relationship Id="rId13" Type="http://schemas.openxmlformats.org/officeDocument/2006/relationships/hyperlink" Target="https://cogcomp.seas.upenn.edu/Data/Car/" TargetMode="External"/><Relationship Id="rId14" Type="http://schemas.openxmlformats.org/officeDocument/2006/relationships/hyperlink" Target="https://www.cancerimagingarchive.net/collection/cbis-ddsm/" TargetMode="External"/><Relationship Id="rId15" Type="http://schemas.openxmlformats.org/officeDocument/2006/relationships/hyperlink" Target="https://www.kaggle.com/code/rerere/pima-indians-diabetes-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