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555B66"/>
          <w:sz w:val="20"/>
        </w:rPr>
        <w:t xml:space="preserve">INSTITUTO TECNOLÓGICO DE QUERÉTARO · TecNM</w:t>
      </w:r>
    </w:p>
    <w:p>
      <w:pPr>
        <w:spacing w:before="0" w:after="40"/>
        <w:jc w:val="center"/>
      </w:pPr>
      <w:r>
        <w:rPr>
          <w:b w:val="0"/>
          <w:i w:val="0"/>
          <w:color w:val="555B66"/>
          <w:sz w:val="20"/>
        </w:rPr>
        <w:t xml:space="preserve">Maestría · Visión Artificial</w:t>
      </w:r>
    </w:p>
    <w:p>
      <w:pPr>
        <w:spacing w:after="40"/>
        <w:jc w:val="center"/>
      </w:pPr>
      <w:r>
        <w:rPr>
          <w:b/>
          <w:i w:val="0"/>
          <w:color w:val="222834"/>
          <w:sz w:val="32"/>
        </w:rPr>
        <w:t xml:space="preserve">Actividad de la Sesión 6: Concurso de clasificación en CIFAR-100</w:t>
      </w:r>
    </w:p>
    <w:p>
      <w:pPr>
        <w:spacing w:before="0" w:after="200"/>
        <w:jc w:val="center"/>
      </w:pPr>
      <w:r>
        <w:rPr>
          <w:b w:val="0"/>
          <w:i w:val="0"/>
          <w:color w:val="555B66"/>
          <w:sz w:val="21"/>
        </w:rPr>
        <w:t xml:space="preserve">Dr. Víctor Alejandro González Huitrón</w:t>
      </w:r>
    </w:p>
    <w:p>
      <w:pPr>
        <w:spacing w:before="0" w:after="120"/>
        <w:jc w:val="both"/>
      </w:pPr>
      <w:r>
        <w:rPr>
          <w:b w:val="0"/>
          <w:i w:val="0"/>
          <w:sz w:val="21"/>
        </w:rPr>
        <w:t xml:space="preserve">A diferencia de las sesiones anteriores, esta actividad es </w:t>
      </w:r>
      <w:r>
        <w:rPr>
          <w:b/>
          <w:i w:val="0"/>
          <w:sz w:val="21"/>
        </w:rPr>
        <w:t xml:space="preserve">única para todo el grupo</w:t>
      </w:r>
      <w:r>
        <w:rPr>
          <w:b w:val="0"/>
          <w:i w:val="0"/>
          <w:sz w:val="21"/>
        </w:rPr>
        <w:t xml:space="preserve"> y se realiza de forma </w:t>
      </w:r>
      <w:r>
        <w:rPr>
          <w:b/>
          <w:i w:val="0"/>
          <w:sz w:val="21"/>
        </w:rPr>
        <w:t xml:space="preserve">individual</w:t>
      </w:r>
      <w:r>
        <w:rPr>
          <w:b w:val="0"/>
          <w:i w:val="0"/>
          <w:sz w:val="21"/>
        </w:rPr>
        <w:t xml:space="preserve">, en formato de concurso: cada estudiante diseña y entrena una red convolucional para clasificar las 100 clases de CIFAR-100. Parte de los fundamentos de la sesión: la neurona y su activación, la función de costo, el descenso de gradiente con retropropagación, la convolución, el relleno, el paso, el pooling y las razones por las que una CNN supera a una red densa en imágenes. El trabajo se realiza fuera del horario de clase y se revisa en la sesión siguiente, donde se presenta la tabla de posiciones. La evaluación emplea la rúbrica incluida al final del documento.</w:t>
      </w:r>
    </w:p>
    <w:p>
      <w:pPr>
        <w:spacing w:before="0" w:after="120"/>
        <w:jc w:val="both"/>
      </w:pPr>
      <w:r>
        <w:rPr>
          <w:b w:val="0"/>
          <w:i w:val="0"/>
          <w:sz w:val="21"/>
        </w:rPr>
        <w:t xml:space="preserve">No se implementa nada desde cero. Se sugiere </w:t>
      </w:r>
      <w:r>
        <w:rPr>
          <w:b/>
          <w:i w:val="0"/>
          <w:sz w:val="21"/>
        </w:rPr>
        <w:t xml:space="preserve">Keras 3 con backend PyTorch</w:t>
      </w:r>
      <w:r>
        <w:rPr>
          <w:b w:val="0"/>
          <w:i w:val="0"/>
          <w:sz w:val="21"/>
        </w:rPr>
        <w:t xml:space="preserve">, el mismo entorno usado en la sesión. Se proporciona un script mínimo de partida para MNIST (</w:t>
      </w:r>
      <w:r>
        <w:rPr>
          <w:b w:val="0"/>
          <w:i w:val="0"/>
          <w:rFonts w:ascii="Consolas" w:hAnsi="Consolas" w:cs="Consolas"/>
          <w:color w:val="8A5A00"/>
          <w:sz w:val="20"/>
        </w:rPr>
        <w:t xml:space="preserve">linea_base_mnist.py</w:t>
      </w:r>
      <w:r>
        <w:rPr>
          <w:b w:val="0"/>
          <w:i w:val="0"/>
          <w:sz w:val="21"/>
        </w:rPr>
        <w:t xml:space="preserve">); adaptarlo a CIFAR-100 y completar lo que pide este documento forma parte de la actividad. El objetivo no es solo obtener la mayor exactitud, sino </w:t>
      </w:r>
      <w:r>
        <w:rPr>
          <w:b/>
          <w:i w:val="0"/>
          <w:sz w:val="21"/>
        </w:rPr>
        <w:t xml:space="preserve">entender e interpretar</w:t>
      </w:r>
      <w:r>
        <w:rPr>
          <w:b w:val="0"/>
          <w:i w:val="0"/>
          <w:sz w:val="21"/>
        </w:rPr>
        <w:t xml:space="preserve"> lo que hace el modelo: por qué acierta, en qué se equivoca y qué aportan los rasgos diseñados frente a los aprendidos.</w:t>
      </w:r>
    </w:p>
    <w:p>
      <w:pPr>
        <w:keepNext/>
        <w:pBdr>
          <w:bottom w:val="single" w:sz="6" w:space="2" w:color="B87A00"/>
        </w:pBdr>
        <w:spacing w:before="280" w:after="80"/>
      </w:pPr>
      <w:r>
        <w:rPr>
          <w:b/>
          <w:i w:val="0"/>
          <w:color w:val="B87A00"/>
          <w:sz w:val="28"/>
        </w:rPr>
        <w:t xml:space="preserve">El conjunto de datos: CIFAR-100</w:t>
      </w:r>
    </w:p>
    <w:p>
      <w:pPr>
        <w:spacing w:before="0" w:after="120"/>
        <w:jc w:val="both"/>
      </w:pPr>
      <w:r>
        <w:rPr>
          <w:b w:val="0"/>
          <w:i w:val="0"/>
          <w:sz w:val="21"/>
        </w:rPr>
        <w:t xml:space="preserve">CIFAR-100 (Krizhevsky, 2009) contiene </w:t>
      </w:r>
      <w:r>
        <w:rPr>
          <w:b/>
          <w:i w:val="0"/>
          <w:sz w:val="21"/>
        </w:rPr>
        <w:t xml:space="preserve">60 000 imágenes a color de 32×32 píxeles</w:t>
      </w:r>
      <w:r>
        <w:rPr>
          <w:b w:val="0"/>
          <w:i w:val="0"/>
          <w:sz w:val="21"/>
        </w:rPr>
        <w:t xml:space="preserve">, divididas en 50 000 de entrenamiento y 10 000 de prueba. Tiene </w:t>
      </w:r>
      <w:r>
        <w:rPr>
          <w:b/>
          <w:i w:val="0"/>
          <w:sz w:val="21"/>
        </w:rPr>
        <w:t xml:space="preserve">100 clases finas</w:t>
      </w:r>
      <w:r>
        <w:rPr>
          <w:b w:val="0"/>
          <w:i w:val="0"/>
          <w:sz w:val="21"/>
        </w:rPr>
        <w:t xml:space="preserve"> con 500 imágenes de entrenamiento y 100 de prueba cada una. Las clases finas se agrupan en </w:t>
      </w:r>
      <w:r>
        <w:rPr>
          <w:b/>
          <w:i w:val="0"/>
          <w:sz w:val="21"/>
        </w:rPr>
        <w:t xml:space="preserve">20 superclases</w:t>
      </w:r>
      <w:r>
        <w:rPr>
          <w:b w:val="0"/>
          <w:i w:val="0"/>
          <w:sz w:val="21"/>
        </w:rPr>
        <w:t xml:space="preserve"> (por ejemplo, la superclase “árboles” contiene arce, roble, palma, pino y sauce). Su tamaño permite entrenar en CPU, y su dificultad (100 clases, pocas imágenes por clase y baja resolución) hace visibles el sobreajuste y los errores entre clases parecidas.</w:t>
      </w:r>
    </w:p>
    <w:p>
      <w:pPr>
        <w:pStyle w:val="ListBullet"/>
        <w:spacing w:after="60"/>
      </w:pPr>
      <w:r>
        <w:rPr>
          <w:b w:val="0"/>
          <w:i w:val="0"/>
          <w:sz w:val="21"/>
        </w:rPr>
        <w:t xml:space="preserve">Carga directa: </w:t>
      </w:r>
      <w:r>
        <w:rPr>
          <w:b w:val="0"/>
          <w:i w:val="0"/>
          <w:rFonts w:ascii="Consolas" w:hAnsi="Consolas" w:cs="Consolas"/>
          <w:color w:val="8A5A00"/>
          <w:sz w:val="20"/>
        </w:rPr>
        <w:t xml:space="preserve">keras.datasets.cifar100.load_data(label_mode="fine")</w:t>
      </w:r>
      <w:r>
        <w:rPr>
          <w:b w:val="0"/>
          <w:i w:val="0"/>
          <w:sz w:val="21"/>
        </w:rPr>
        <w:t xml:space="preserve">. Con </w:t>
      </w:r>
      <w:r>
        <w:rPr>
          <w:b w:val="0"/>
          <w:i w:val="0"/>
          <w:rFonts w:ascii="Consolas" w:hAnsi="Consolas" w:cs="Consolas"/>
          <w:color w:val="8A5A00"/>
          <w:sz w:val="20"/>
        </w:rPr>
        <w:t xml:space="preserve">label_mode="coarse"</w:t>
      </w:r>
      <w:r>
        <w:rPr>
          <w:b w:val="0"/>
          <w:i w:val="0"/>
          <w:sz w:val="21"/>
        </w:rPr>
        <w:t xml:space="preserve"> se obtienen las 20 superclases de las mismas imágenes y en el mismo orden, lo cual es útil para interpretar el error.</w:t>
      </w:r>
    </w:p>
    <w:p>
      <w:pPr>
        <w:pStyle w:val="ListBullet"/>
        <w:spacing w:after="60"/>
      </w:pPr>
      <w:r>
        <w:rPr>
          <w:b w:val="0"/>
          <w:i w:val="0"/>
          <w:sz w:val="21"/>
        </w:rPr>
        <w:t xml:space="preserve">Página oficial y lista de clases: </w:t>
      </w:r>
      <w:hyperlink r:id="rIdL1">
        <w:r>
          <w:rPr>
            <w:b w:val="0"/>
            <w:i w:val="0"/>
            <w:color w:val="1155CC"/>
            <w:u w:val="single"/>
            <w:sz w:val="20"/>
          </w:rPr>
          <w:t xml:space="preserve">cs.toronto.edu/~kriz/cifar.html</w:t>
        </w:r>
      </w:hyperlink>
    </w:p>
    <w:p>
      <w:pPr>
        <w:pStyle w:val="ListBullet"/>
        <w:spacing w:after="120"/>
      </w:pPr>
      <w:r>
        <w:rPr>
          <w:b w:val="0"/>
          <w:i w:val="0"/>
          <w:sz w:val="21"/>
        </w:rPr>
        <w:t xml:space="preserve">Documentación del cargador en Keras: </w:t>
      </w:r>
      <w:hyperlink r:id="rIdL2">
        <w:r>
          <w:rPr>
            <w:b w:val="0"/>
            <w:i w:val="0"/>
            <w:color w:val="1155CC"/>
            <w:u w:val="single"/>
            <w:sz w:val="20"/>
          </w:rPr>
          <w:t xml:space="preserve">keras.io/api/datasets/cifar100</w:t>
        </w:r>
      </w:hyperlink>
    </w:p>
    <w:p>
      <w:pPr>
        <w:keepNext/>
        <w:pBdr>
          <w:bottom w:val="single" w:sz="6" w:space="2" w:color="B87A00"/>
        </w:pBdr>
        <w:spacing w:before="280" w:after="80"/>
      </w:pPr>
      <w:r>
        <w:rPr>
          <w:b/>
          <w:i w:val="0"/>
          <w:color w:val="B87A00"/>
          <w:sz w:val="28"/>
        </w:rPr>
        <w:t xml:space="preserve">Reglas del concurso</w:t>
      </w:r>
    </w:p>
    <w:p>
      <w:pPr>
        <w:keepNext/>
        <w:spacing w:before="20" w:after="80"/>
      </w:pPr>
      <w:r>
        <w:rPr>
          <w:b w:val="0"/>
          <w:i/>
          <w:color w:val="555B66"/>
          <w:sz w:val="21"/>
        </w:rPr>
        <w:t xml:space="preserve">Iguales para todos, para que la comparación sea justa aunque cada quien use una computadora distinta</w:t>
      </w:r>
    </w:p>
    <w:tbl>
      <w:tblPr>
        <w:tblStyle w:val="LightGrid-Accent1"/>
        <w:tblW w:type="dxa" w:w="8640"/>
        <w:jc w:val="center"/>
        <w:tblLook w:firstColumn="1" w:firstRow="1" w:lastColumn="0" w:lastRow="0" w:noHBand="0" w:noVBand="1" w:val="04A0"/>
      </w:tblPr>
      <w:tblGrid>
        <w:gridCol w:w="2300"/>
        <w:gridCol w:w="6340"/>
      </w:tblGrid>
      <w:tr>
        <w:trPr>
          <w:cantSplit/>
          <w:tblHeader/>
        </w:trPr>
        <w:tc>
          <w:tcPr>
            <w:tcW w:type="dxa" w:w="2300"/>
            <w:shd w:val="clear" w:color="auto" w:fill="B87A00"/>
          </w:tcPr>
          <w:p>
            <w:pPr>
              <w:spacing w:before="20" w:after="20"/>
            </w:pPr>
            <w:r>
              <w:rPr>
                <w:b/>
                <w:i w:val="0"/>
                <w:color w:val="FFFFFF"/>
                <w:sz w:val="18"/>
              </w:rPr>
              <w:t xml:space="preserve">Regla</w:t>
            </w:r>
          </w:p>
        </w:tc>
        <w:tc>
          <w:tcPr>
            <w:tcW w:type="dxa" w:w="6340"/>
            <w:shd w:val="clear" w:color="auto" w:fill="B87A00"/>
          </w:tcPr>
          <w:p>
            <w:pPr>
              <w:spacing w:before="20" w:after="20"/>
            </w:pPr>
            <w:r>
              <w:rPr>
                <w:b/>
                <w:i w:val="0"/>
                <w:color w:val="FFFFFF"/>
                <w:sz w:val="18"/>
              </w:rPr>
              <w:t xml:space="preserve">Detalle</w:t>
            </w:r>
          </w:p>
        </w:tc>
      </w:tr>
      <w:tr>
        <w:trPr>
          <w:cantSplit/>
        </w:trPr>
        <w:tc>
          <w:tcPr>
            <w:tcW w:type="dxa" w:w="2300"/>
          </w:tcPr>
          <w:p>
            <w:pPr>
              <w:spacing w:before="20" w:after="20"/>
            </w:pPr>
            <w:r>
              <w:rPr>
                <w:b/>
                <w:i w:val="0"/>
                <w:sz w:val="17"/>
              </w:rPr>
              <w:t xml:space="preserve">Modalidad</w:t>
            </w:r>
          </w:p>
        </w:tc>
        <w:tc>
          <w:tcPr>
            <w:tcW w:type="dxa" w:w="6340"/>
          </w:tcPr>
          <w:p>
            <w:pPr>
              <w:spacing w:before="20" w:after="20"/>
            </w:pPr>
            <w:r>
              <w:rPr>
                <w:b w:val="0"/>
                <w:i w:val="0"/>
                <w:sz w:val="17"/>
              </w:rPr>
              <w:t xml:space="preserve">Individual.</w:t>
            </w:r>
          </w:p>
        </w:tc>
      </w:tr>
      <w:tr>
        <w:trPr>
          <w:cantSplit/>
        </w:trPr>
        <w:tc>
          <w:tcPr>
            <w:tcW w:type="dxa" w:w="2300"/>
          </w:tcPr>
          <w:p>
            <w:pPr>
              <w:spacing w:before="20" w:after="20"/>
            </w:pPr>
            <w:r>
              <w:rPr>
                <w:b/>
                <w:i w:val="0"/>
                <w:sz w:val="17"/>
              </w:rPr>
              <w:t xml:space="preserve">Clases</w:t>
            </w:r>
          </w:p>
        </w:tc>
        <w:tc>
          <w:tcPr>
            <w:tcW w:type="dxa" w:w="6340"/>
          </w:tcPr>
          <w:p>
            <w:pPr>
              <w:spacing w:before="20" w:after="20"/>
            </w:pPr>
            <w:r>
              <w:rPr>
                <w:b w:val="0"/>
                <w:i w:val="0"/>
                <w:sz w:val="17"/>
              </w:rPr>
              <w:t xml:space="preserve">Solo las 100 clases finas (</w:t>
            </w:r>
            <w:r>
              <w:rPr>
                <w:b w:val="0"/>
                <w:i w:val="0"/>
                <w:rFonts w:ascii="Consolas" w:hAnsi="Consolas" w:cs="Consolas"/>
                <w:color w:val="8A5A00"/>
                <w:sz w:val="16"/>
              </w:rPr>
              <w:t xml:space="preserve">label_mode="fine"</w:t>
            </w:r>
            <w:r>
              <w:rPr>
                <w:b w:val="0"/>
                <w:i w:val="0"/>
                <w:sz w:val="17"/>
              </w:rPr>
              <w:t xml:space="preserve">).</w:t>
            </w:r>
          </w:p>
        </w:tc>
      </w:tr>
      <w:tr>
        <w:trPr>
          <w:cantSplit/>
        </w:trPr>
        <w:tc>
          <w:tcPr>
            <w:tcW w:type="dxa" w:w="2300"/>
          </w:tcPr>
          <w:p>
            <w:pPr>
              <w:spacing w:before="20" w:after="20"/>
            </w:pPr>
            <w:r>
              <w:rPr>
                <w:b/>
                <w:i w:val="0"/>
                <w:sz w:val="17"/>
              </w:rPr>
              <w:t xml:space="preserve">Parámetros</w:t>
            </w:r>
          </w:p>
        </w:tc>
        <w:tc>
          <w:tcPr>
            <w:tcW w:type="dxa" w:w="6340"/>
          </w:tcPr>
          <w:p>
            <w:pPr>
              <w:spacing w:before="20" w:after="20"/>
            </w:pPr>
            <w:r>
              <w:rPr>
                <w:b w:val="0"/>
                <w:i w:val="0"/>
                <w:sz w:val="17"/>
              </w:rPr>
              <w:t xml:space="preserve">Máximo </w:t>
            </w:r>
            <w:r>
              <w:rPr>
                <w:b/>
                <w:i w:val="0"/>
                <w:sz w:val="17"/>
              </w:rPr>
              <w:t xml:space="preserve">1 000 000</w:t>
            </w:r>
            <w:r>
              <w:rPr>
                <w:b w:val="0"/>
                <w:i w:val="0"/>
                <w:sz w:val="17"/>
              </w:rPr>
              <w:t xml:space="preserve"> de parámetros entrenables, comprobado con </w:t>
            </w:r>
            <w:r>
              <w:rPr>
                <w:b w:val="0"/>
                <w:i w:val="0"/>
                <w:rFonts w:ascii="Consolas" w:hAnsi="Consolas" w:cs="Consolas"/>
                <w:color w:val="8A5A00"/>
                <w:sz w:val="16"/>
              </w:rPr>
              <w:t xml:space="preserve">model.summary()</w:t>
            </w:r>
            <w:r>
              <w:rPr>
                <w:b w:val="0"/>
                <w:i w:val="0"/>
                <w:sz w:val="17"/>
              </w:rPr>
              <w:t xml:space="preserve">.</w:t>
            </w:r>
          </w:p>
        </w:tc>
      </w:tr>
      <w:tr>
        <w:trPr>
          <w:cantSplit/>
        </w:trPr>
        <w:tc>
          <w:tcPr>
            <w:tcW w:type="dxa" w:w="2300"/>
          </w:tcPr>
          <w:p>
            <w:pPr>
              <w:spacing w:before="20" w:after="20"/>
            </w:pPr>
            <w:r>
              <w:rPr>
                <w:b/>
                <w:i w:val="0"/>
                <w:sz w:val="17"/>
              </w:rPr>
              <w:t xml:space="preserve">Épocas</w:t>
            </w:r>
          </w:p>
        </w:tc>
        <w:tc>
          <w:tcPr>
            <w:tcW w:type="dxa" w:w="6340"/>
          </w:tcPr>
          <w:p>
            <w:pPr>
              <w:spacing w:before="20" w:after="20"/>
            </w:pPr>
            <w:r>
              <w:rPr>
                <w:b w:val="0"/>
                <w:i w:val="0"/>
                <w:sz w:val="17"/>
              </w:rPr>
              <w:t xml:space="preserve">Máximo </w:t>
            </w:r>
            <w:r>
              <w:rPr>
                <w:b/>
                <w:i w:val="0"/>
                <w:sz w:val="17"/>
              </w:rPr>
              <w:t xml:space="preserve">30 épocas</w:t>
            </w:r>
            <w:r>
              <w:rPr>
                <w:b w:val="0"/>
                <w:i w:val="0"/>
                <w:sz w:val="17"/>
              </w:rPr>
              <w:t xml:space="preserve"> para el modelo final. Si se usa paro temprano, se reportan las épocas realmente ejecutadas.</w:t>
            </w:r>
          </w:p>
        </w:tc>
      </w:tr>
      <w:tr>
        <w:trPr>
          <w:cantSplit/>
        </w:trPr>
        <w:tc>
          <w:tcPr>
            <w:tcW w:type="dxa" w:w="2300"/>
          </w:tcPr>
          <w:p>
            <w:pPr>
              <w:spacing w:before="20" w:after="20"/>
            </w:pPr>
            <w:r>
              <w:rPr>
                <w:b/>
                <w:i w:val="0"/>
                <w:sz w:val="17"/>
              </w:rPr>
              <w:t xml:space="preserve">Arquitectura</w:t>
            </w:r>
          </w:p>
        </w:tc>
        <w:tc>
          <w:tcPr>
            <w:tcW w:type="dxa" w:w="6340"/>
          </w:tcPr>
          <w:p>
            <w:pPr>
              <w:spacing w:before="20" w:after="20"/>
            </w:pPr>
            <w:r>
              <w:rPr>
                <w:b w:val="0"/>
                <w:i w:val="0"/>
                <w:sz w:val="17"/>
              </w:rPr>
              <w:t xml:space="preserve">Red convolucional entrenada </w:t>
            </w:r>
            <w:r>
              <w:rPr>
                <w:b/>
                <w:i w:val="0"/>
                <w:sz w:val="17"/>
              </w:rPr>
              <w:t xml:space="preserve">desde cero</w:t>
            </w:r>
            <w:r>
              <w:rPr>
                <w:b w:val="0"/>
                <w:i w:val="0"/>
                <w:sz w:val="17"/>
              </w:rPr>
              <w:t xml:space="preserve">. No se permiten pesos preentrenados (el transfer learning es tema de la sesión 7) ni datos externos.</w:t>
            </w:r>
          </w:p>
        </w:tc>
      </w:tr>
      <w:tr>
        <w:trPr>
          <w:cantSplit/>
        </w:trPr>
        <w:tc>
          <w:tcPr>
            <w:tcW w:type="dxa" w:w="2300"/>
          </w:tcPr>
          <w:p>
            <w:pPr>
              <w:spacing w:before="20" w:after="20"/>
            </w:pPr>
            <w:r>
              <w:rPr>
                <w:b/>
                <w:i w:val="0"/>
                <w:sz w:val="17"/>
              </w:rPr>
              <w:t xml:space="preserve">Conjunto de prueba</w:t>
            </w:r>
          </w:p>
        </w:tc>
        <w:tc>
          <w:tcPr>
            <w:tcW w:type="dxa" w:w="6340"/>
          </w:tcPr>
          <w:p>
            <w:pPr>
              <w:spacing w:before="20" w:after="20"/>
            </w:pPr>
            <w:r>
              <w:rPr>
                <w:b w:val="0"/>
                <w:i w:val="0"/>
                <w:sz w:val="17"/>
              </w:rPr>
              <w:t xml:space="preserve">Se usa </w:t>
            </w:r>
            <w:r>
              <w:rPr>
                <w:b/>
                <w:i w:val="0"/>
                <w:sz w:val="17"/>
              </w:rPr>
              <w:t xml:space="preserve">una sola vez</w:t>
            </w:r>
            <w:r>
              <w:rPr>
                <w:b w:val="0"/>
                <w:i w:val="0"/>
                <w:sz w:val="17"/>
              </w:rPr>
              <w:t xml:space="preserve">, al final. No sirve para entrenar ni para elegir hiperparámetros; para eso se aparta una validación del entrenamiento.</w:t>
            </w:r>
          </w:p>
        </w:tc>
      </w:tr>
      <w:tr>
        <w:trPr>
          <w:cantSplit/>
        </w:trPr>
        <w:tc>
          <w:tcPr>
            <w:tcW w:type="dxa" w:w="2300"/>
          </w:tcPr>
          <w:p>
            <w:pPr>
              <w:spacing w:before="20" w:after="20"/>
            </w:pPr>
            <w:r>
              <w:rPr>
                <w:b/>
                <w:i w:val="0"/>
                <w:sz w:val="17"/>
              </w:rPr>
              <w:t xml:space="preserve">Técnicas permitidas</w:t>
            </w:r>
          </w:p>
        </w:tc>
        <w:tc>
          <w:tcPr>
            <w:tcW w:type="dxa" w:w="6340"/>
          </w:tcPr>
          <w:p>
            <w:pPr>
              <w:spacing w:before="20" w:after="20"/>
            </w:pPr>
            <w:r>
              <w:rPr>
                <w:b w:val="0"/>
                <w:i w:val="0"/>
                <w:sz w:val="17"/>
              </w:rPr>
              <w:t xml:space="preserve">Aumento de datos, BatchNorm, Dropout, regularización, programación de la tasa de aprendizaje y cualquier optimizador.</w:t>
            </w:r>
          </w:p>
        </w:tc>
      </w:tr>
      <w:tr>
        <w:trPr>
          <w:cantSplit/>
        </w:trPr>
        <w:tc>
          <w:tcPr>
            <w:tcW w:type="dxa" w:w="2300"/>
          </w:tcPr>
          <w:p>
            <w:pPr>
              <w:spacing w:before="20" w:after="20"/>
            </w:pPr>
            <w:r>
              <w:rPr>
                <w:b/>
                <w:i w:val="0"/>
                <w:sz w:val="17"/>
              </w:rPr>
              <w:t xml:space="preserve">Métrica del concurso</w:t>
            </w:r>
          </w:p>
        </w:tc>
        <w:tc>
          <w:tcPr>
            <w:tcW w:type="dxa" w:w="6340"/>
          </w:tcPr>
          <w:p>
            <w:pPr>
              <w:spacing w:before="20" w:after="20"/>
            </w:pPr>
            <w:r>
              <w:rPr>
                <w:b w:val="0"/>
                <w:i w:val="0"/>
                <w:sz w:val="17"/>
              </w:rPr>
              <w:t xml:space="preserve">Accuracy top-1 sobre las 10 000 imágenes de prueba.</w:t>
            </w:r>
          </w:p>
        </w:tc>
      </w:tr>
      <w:tr>
        <w:trPr>
          <w:cantSplit/>
        </w:trPr>
        <w:tc>
          <w:tcPr>
            <w:tcW w:type="dxa" w:w="2300"/>
          </w:tcPr>
          <w:p>
            <w:pPr>
              <w:spacing w:before="20" w:after="20"/>
            </w:pPr>
            <w:r>
              <w:rPr>
                <w:b/>
                <w:i w:val="0"/>
                <w:sz w:val="17"/>
              </w:rPr>
              <w:t xml:space="preserve">Tiempo</w:t>
            </w:r>
          </w:p>
        </w:tc>
        <w:tc>
          <w:tcPr>
            <w:tcW w:type="dxa" w:w="6340"/>
          </w:tcPr>
          <w:p>
            <w:pPr>
              <w:spacing w:before="20" w:after="20"/>
            </w:pPr>
            <w:r>
              <w:rPr>
                <w:b w:val="0"/>
                <w:i w:val="0"/>
                <w:sz w:val="17"/>
              </w:rPr>
              <w:t xml:space="preserve">No se compara: el hardware de cada estudiante es distinto. Basta con CPU.</w:t>
            </w:r>
          </w:p>
        </w:tc>
      </w:tr>
    </w:tbl>
    <w:p>
      <w:pPr>
        <w:spacing w:before="0" w:after="120"/>
      </w:pPr>
    </w:p>
    <w:p>
      <w:pPr>
        <w:keepNext/>
        <w:pBdr>
          <w:bottom w:val="single" w:sz="6" w:space="2" w:color="B87A00"/>
        </w:pBdr>
        <w:spacing w:before="280" w:after="80"/>
      </w:pPr>
      <w:r>
        <w:rPr>
          <w:b/>
          <w:i w:val="0"/>
          <w:color w:val="B87A00"/>
          <w:sz w:val="28"/>
        </w:rPr>
        <w:t xml:space="preserve">Experimento obligatorio: rasgos diseñados como canales de entrada</w:t>
      </w:r>
    </w:p>
    <w:p>
      <w:pPr>
        <w:keepNext/>
        <w:spacing w:before="20" w:after="80"/>
      </w:pPr>
      <w:r>
        <w:rPr>
          <w:b w:val="0"/>
          <w:i/>
          <w:color w:val="555B66"/>
          <w:sz w:val="21"/>
        </w:rPr>
        <w:t xml:space="preserve">¿La CNN ya aprende lo que antes diseñábamos a mano, o le ayuda recibirlo?</w:t>
      </w:r>
    </w:p>
    <w:p>
      <w:pPr>
        <w:spacing w:before="0" w:after="120"/>
        <w:jc w:val="both"/>
      </w:pPr>
      <w:r>
        <w:rPr>
          <w:b w:val="0"/>
          <w:i w:val="0"/>
          <w:sz w:val="21"/>
        </w:rPr>
        <w:t xml:space="preserve">En las sesiones 4 y 5 se usaron rasgos diseñados por una persona (gradientes, LBP, HOG, realce de contraste). En esta sesión se vio que la primera capa de una CNN aprende detectores parecidos por sí sola. El experimento contrasta ambas ideas con dos modelos que solo difieren en su entrada:</w:t>
      </w:r>
    </w:p>
    <w:p>
      <w:pPr>
        <w:pStyle w:val="ListBullet"/>
        <w:spacing w:after="60"/>
      </w:pPr>
      <w:r>
        <w:rPr>
          <w:b/>
          <w:i w:val="0"/>
          <w:sz w:val="21"/>
        </w:rPr>
        <w:t xml:space="preserve">Modelo A (base):</w:t>
      </w:r>
      <w:r>
        <w:rPr>
          <w:b w:val="0"/>
          <w:i w:val="0"/>
          <w:sz w:val="21"/>
        </w:rPr>
        <w:t xml:space="preserve"> imagen RGB, 3 canales.</w:t>
      </w:r>
    </w:p>
    <w:p>
      <w:pPr>
        <w:pStyle w:val="ListBullet"/>
        <w:spacing w:after="60"/>
      </w:pPr>
      <w:r>
        <w:rPr>
          <w:b/>
          <w:i w:val="0"/>
          <w:sz w:val="21"/>
        </w:rPr>
        <w:t xml:space="preserve">Modelo B:</w:t>
      </w:r>
      <w:r>
        <w:rPr>
          <w:b w:val="0"/>
          <w:i w:val="0"/>
          <w:sz w:val="21"/>
        </w:rPr>
        <w:t xml:space="preserve"> la misma imagen RGB más al menos un canal construido con un rasgo diseñado.</w:t>
      </w:r>
    </w:p>
    <w:p>
      <w:pPr>
        <w:pStyle w:val="ListBullet"/>
        <w:spacing w:after="120"/>
      </w:pPr>
      <w:r>
        <w:rPr>
          <w:b w:val="0"/>
          <w:i w:val="0"/>
          <w:sz w:val="21"/>
        </w:rPr>
        <w:t xml:space="preserve">Ambos modelos usan la </w:t>
      </w:r>
      <w:r>
        <w:rPr>
          <w:b/>
          <w:i w:val="0"/>
          <w:sz w:val="21"/>
        </w:rPr>
        <w:t xml:space="preserve">misma arquitectura, hiperparámetros, semilla y número de épocas</w:t>
      </w:r>
      <w:r>
        <w:rPr>
          <w:b w:val="0"/>
          <w:i w:val="0"/>
          <w:sz w:val="21"/>
        </w:rPr>
        <w:t xml:space="preserve">. Solo cambia el número de canales de entrada (y, por tanto, los parámetros de la primera capa convolucional). El modelo final del concurso puede ser A, B o una versión posterior; debe cumplir las reglas.</w:t>
      </w:r>
    </w:p>
    <w:tbl>
      <w:tblPr>
        <w:tblStyle w:val="LightGrid-Accent1"/>
        <w:tblW w:type="dxa" w:w="8640"/>
        <w:jc w:val="center"/>
        <w:tblLook w:firstColumn="1" w:firstRow="1" w:lastColumn="0" w:lastRow="0" w:noHBand="0" w:noVBand="1" w:val="04A0"/>
      </w:tblPr>
      <w:tblGrid>
        <w:gridCol w:w="1700"/>
        <w:gridCol w:w="3470"/>
        <w:gridCol w:w="3470"/>
      </w:tblGrid>
      <w:tr>
        <w:trPr>
          <w:cantSplit/>
          <w:tblHeader/>
        </w:trPr>
        <w:tc>
          <w:tcPr>
            <w:tcW w:type="dxa" w:w="1700"/>
            <w:shd w:val="clear" w:color="auto" w:fill="B87A00"/>
          </w:tcPr>
          <w:p>
            <w:pPr>
              <w:spacing w:before="20" w:after="20"/>
            </w:pPr>
            <w:r>
              <w:rPr>
                <w:b/>
                <w:i w:val="0"/>
                <w:color w:val="FFFFFF"/>
                <w:sz w:val="18"/>
              </w:rPr>
              <w:t xml:space="preserve">Rasgo</w:t>
            </w:r>
          </w:p>
        </w:tc>
        <w:tc>
          <w:tcPr>
            <w:tcW w:type="dxa" w:w="3470"/>
            <w:shd w:val="clear" w:color="auto" w:fill="B87A00"/>
          </w:tcPr>
          <w:p>
            <w:pPr>
              <w:spacing w:before="20" w:after="20"/>
            </w:pPr>
            <w:r>
              <w:rPr>
                <w:b/>
                <w:i w:val="0"/>
                <w:color w:val="FFFFFF"/>
                <w:sz w:val="18"/>
              </w:rPr>
              <w:t xml:space="preserve">Cómo construir el canal</w:t>
            </w:r>
          </w:p>
        </w:tc>
        <w:tc>
          <w:tcPr>
            <w:tcW w:type="dxa" w:w="3470"/>
            <w:shd w:val="clear" w:color="auto" w:fill="B87A00"/>
          </w:tcPr>
          <w:p>
            <w:pPr>
              <w:spacing w:before="20" w:after="20"/>
            </w:pPr>
            <w:r>
              <w:rPr>
                <w:b/>
                <w:i w:val="0"/>
                <w:color w:val="FFFFFF"/>
                <w:sz w:val="18"/>
              </w:rPr>
              <w:t xml:space="preserve">Cuidado</w:t>
            </w:r>
          </w:p>
        </w:tc>
      </w:tr>
      <w:tr>
        <w:trPr>
          <w:cantSplit/>
        </w:trPr>
        <w:tc>
          <w:tcPr>
            <w:tcW w:type="dxa" w:w="1700"/>
          </w:tcPr>
          <w:p>
            <w:pPr>
              <w:spacing w:before="20" w:after="20"/>
            </w:pPr>
            <w:r>
              <w:rPr>
                <w:b/>
                <w:i w:val="0"/>
                <w:sz w:val="17"/>
              </w:rPr>
              <w:t xml:space="preserve">LBP uniforme</w:t>
            </w:r>
          </w:p>
        </w:tc>
        <w:tc>
          <w:tcPr>
            <w:tcW w:type="dxa" w:w="3470"/>
          </w:tcPr>
          <w:p>
            <w:pPr>
              <w:spacing w:before="20" w:after="20"/>
            </w:pPr>
            <w:r>
              <w:rPr>
                <w:b w:val="0"/>
                <w:i w:val="0"/>
                <w:rFonts w:ascii="Consolas" w:hAnsi="Consolas" w:cs="Consolas"/>
                <w:color w:val="8A5A00"/>
                <w:sz w:val="16"/>
              </w:rPr>
              <w:t xml:space="preserve">skimage.feature.local_binary_pattern(gris, P=8, R=1, method="uniform")</w:t>
            </w:r>
            <w:r>
              <w:rPr>
                <w:b w:val="0"/>
                <w:i w:val="0"/>
                <w:sz w:val="17"/>
              </w:rPr>
              <w:t xml:space="preserve"> produce 10 patrones posibles por píxel.</w:t>
            </w:r>
          </w:p>
        </w:tc>
        <w:tc>
          <w:tcPr>
            <w:tcW w:type="dxa" w:w="3470"/>
          </w:tcPr>
          <w:p>
            <w:pPr>
              <w:spacing w:before="20" w:after="20"/>
            </w:pPr>
            <w:r>
              <w:rPr>
                <w:b w:val="0"/>
                <w:i w:val="0"/>
                <w:sz w:val="17"/>
              </w:rPr>
              <w:t xml:space="preserve">El código LBP es una </w:t>
            </w:r>
            <w:r>
              <w:rPr>
                <w:b/>
                <w:i w:val="0"/>
                <w:sz w:val="17"/>
              </w:rPr>
              <w:t xml:space="preserve">etiqueta, no una magnitud</w:t>
            </w:r>
            <w:r>
              <w:rPr>
                <w:b w:val="0"/>
                <w:i w:val="0"/>
                <w:sz w:val="17"/>
              </w:rPr>
              <w:t xml:space="preserve">: el patrón 8 no es “el doble” del 4. Codificarlo en one-hot (10 canales) o como histograma local, no como número crudo.</w:t>
            </w:r>
          </w:p>
        </w:tc>
      </w:tr>
      <w:tr>
        <w:trPr>
          <w:cantSplit/>
        </w:trPr>
        <w:tc>
          <w:tcPr>
            <w:tcW w:type="dxa" w:w="1700"/>
          </w:tcPr>
          <w:p>
            <w:pPr>
              <w:spacing w:before="20" w:after="20"/>
            </w:pPr>
            <w:r>
              <w:rPr>
                <w:b/>
                <w:i w:val="0"/>
                <w:sz w:val="17"/>
              </w:rPr>
              <w:t xml:space="preserve">Gradiente (Sobel)</w:t>
            </w:r>
          </w:p>
        </w:tc>
        <w:tc>
          <w:tcPr>
            <w:tcW w:type="dxa" w:w="3470"/>
          </w:tcPr>
          <w:p>
            <w:pPr>
              <w:spacing w:before="20" w:after="20"/>
            </w:pPr>
            <w:r>
              <w:rPr>
                <w:b w:val="0"/>
                <w:i w:val="0"/>
                <w:sz w:val="17"/>
              </w:rPr>
              <w:t xml:space="preserve">Magnitud y orientación del gradiente sobre la luminancia.</w:t>
            </w:r>
          </w:p>
        </w:tc>
        <w:tc>
          <w:tcPr>
            <w:tcW w:type="dxa" w:w="3470"/>
          </w:tcPr>
          <w:p>
            <w:pPr>
              <w:spacing w:before="20" w:after="20"/>
            </w:pPr>
            <w:r>
              <w:rPr>
                <w:b w:val="0"/>
                <w:i w:val="0"/>
                <w:sz w:val="17"/>
              </w:rPr>
              <w:t xml:space="preserve">La orientación es circular (−π y π son lo mismo): conviene usar cos θ y sen θ como dos canales.</w:t>
            </w:r>
          </w:p>
        </w:tc>
      </w:tr>
      <w:tr>
        <w:trPr>
          <w:cantSplit/>
        </w:trPr>
        <w:tc>
          <w:tcPr>
            <w:tcW w:type="dxa" w:w="1700"/>
          </w:tcPr>
          <w:p>
            <w:pPr>
              <w:spacing w:before="20" w:after="20"/>
            </w:pPr>
            <w:r>
              <w:rPr>
                <w:b/>
                <w:i w:val="0"/>
                <w:sz w:val="17"/>
              </w:rPr>
              <w:t xml:space="preserve">CLAHE</w:t>
            </w:r>
          </w:p>
        </w:tc>
        <w:tc>
          <w:tcPr>
            <w:tcW w:type="dxa" w:w="3470"/>
          </w:tcPr>
          <w:p>
            <w:pPr>
              <w:spacing w:before="20" w:after="20"/>
            </w:pPr>
            <w:r>
              <w:rPr>
                <w:b w:val="0"/>
                <w:i w:val="0"/>
                <w:sz w:val="17"/>
              </w:rPr>
              <w:t xml:space="preserve">Realce de contraste adaptativo sobre la luminancia (</w:t>
            </w:r>
            <w:r>
              <w:rPr>
                <w:b w:val="0"/>
                <w:i w:val="0"/>
                <w:rFonts w:ascii="Consolas" w:hAnsi="Consolas" w:cs="Consolas"/>
                <w:color w:val="8A5A00"/>
                <w:sz w:val="16"/>
              </w:rPr>
              <w:t xml:space="preserve">cv2.createCLAHE</w:t>
            </w:r>
            <w:r>
              <w:rPr>
                <w:b w:val="0"/>
                <w:i w:val="0"/>
                <w:sz w:val="17"/>
              </w:rPr>
              <w:t xml:space="preserve">).</w:t>
            </w:r>
          </w:p>
        </w:tc>
        <w:tc>
          <w:tcPr>
            <w:tcW w:type="dxa" w:w="3470"/>
          </w:tcPr>
          <w:p>
            <w:pPr>
              <w:spacing w:before="20" w:after="20"/>
            </w:pPr>
            <w:r>
              <w:rPr>
                <w:b w:val="0"/>
                <w:i w:val="0"/>
                <w:sz w:val="17"/>
              </w:rPr>
              <w:t xml:space="preserve">Aplicar los mismos parámetros a entrenamiento y prueba.</w:t>
            </w:r>
          </w:p>
        </w:tc>
      </w:tr>
      <w:tr>
        <w:trPr>
          <w:cantSplit/>
        </w:trPr>
        <w:tc>
          <w:tcPr>
            <w:tcW w:type="dxa" w:w="1700"/>
          </w:tcPr>
          <w:p>
            <w:pPr>
              <w:spacing w:before="20" w:after="20"/>
            </w:pPr>
            <w:r>
              <w:rPr>
                <w:b/>
                <w:i w:val="0"/>
                <w:sz w:val="17"/>
              </w:rPr>
              <w:t xml:space="preserve">HOG</w:t>
            </w:r>
          </w:p>
        </w:tc>
        <w:tc>
          <w:tcPr>
            <w:tcW w:type="dxa" w:w="3470"/>
          </w:tcPr>
          <w:p>
            <w:pPr>
              <w:spacing w:before="20" w:after="20"/>
            </w:pPr>
            <w:r>
              <w:rPr>
                <w:b w:val="0"/>
                <w:i w:val="0"/>
                <w:sz w:val="17"/>
              </w:rPr>
              <w:t xml:space="preserve">Histogramas de orientación por celda (</w:t>
            </w:r>
            <w:r>
              <w:rPr>
                <w:b w:val="0"/>
                <w:i w:val="0"/>
                <w:rFonts w:ascii="Consolas" w:hAnsi="Consolas" w:cs="Consolas"/>
                <w:color w:val="8A5A00"/>
                <w:sz w:val="16"/>
              </w:rPr>
              <w:t xml:space="preserve">skimage.feature.hog</w:t>
            </w:r>
            <w:r>
              <w:rPr>
                <w:b w:val="0"/>
                <w:i w:val="0"/>
                <w:sz w:val="17"/>
              </w:rPr>
              <w:t xml:space="preserve">, </w:t>
            </w:r>
            <w:r>
              <w:rPr>
                <w:b w:val="0"/>
                <w:i w:val="0"/>
                <w:rFonts w:ascii="Consolas" w:hAnsi="Consolas" w:cs="Consolas"/>
                <w:color w:val="8A5A00"/>
                <w:sz w:val="16"/>
              </w:rPr>
              <w:t xml:space="preserve">feature_vector=False</w:t>
            </w:r>
            <w:r>
              <w:rPr>
                <w:b w:val="0"/>
                <w:i w:val="0"/>
                <w:sz w:val="17"/>
              </w:rPr>
              <w:t xml:space="preserve">).</w:t>
            </w:r>
          </w:p>
        </w:tc>
        <w:tc>
          <w:tcPr>
            <w:tcW w:type="dxa" w:w="3470"/>
          </w:tcPr>
          <w:p>
            <w:pPr>
              <w:spacing w:before="20" w:after="20"/>
            </w:pPr>
            <w:r>
              <w:rPr>
                <w:b w:val="0"/>
                <w:i w:val="0"/>
                <w:sz w:val="17"/>
              </w:rPr>
              <w:t xml:space="preserve">Produce un mapa más pequeño que la imagen: hay que decidir cómo alinearlo (reescalar o usar una rama aparte). Opción avanzada.</w:t>
            </w:r>
          </w:p>
        </w:tc>
      </w:tr>
      <w:tr>
        <w:trPr>
          <w:cantSplit/>
        </w:trPr>
        <w:tc>
          <w:tcPr>
            <w:tcW w:type="dxa" w:w="1700"/>
          </w:tcPr>
          <w:p>
            <w:pPr>
              <w:spacing w:before="20" w:after="20"/>
            </w:pPr>
            <w:r>
              <w:rPr>
                <w:b/>
                <w:i w:val="0"/>
                <w:sz w:val="17"/>
              </w:rPr>
              <w:t xml:space="preserve">Espacio de color</w:t>
            </w:r>
          </w:p>
        </w:tc>
        <w:tc>
          <w:tcPr>
            <w:tcW w:type="dxa" w:w="3470"/>
          </w:tcPr>
          <w:p>
            <w:pPr>
              <w:spacing w:before="20" w:after="20"/>
            </w:pPr>
            <w:r>
              <w:rPr>
                <w:b w:val="0"/>
                <w:i w:val="0"/>
                <w:sz w:val="17"/>
              </w:rPr>
              <w:t xml:space="preserve">Lab o HSV en lugar de, o además de, RGB.</w:t>
            </w:r>
          </w:p>
        </w:tc>
        <w:tc>
          <w:tcPr>
            <w:tcW w:type="dxa" w:w="3470"/>
          </w:tcPr>
          <w:p>
            <w:pPr>
              <w:spacing w:before="20" w:after="20"/>
            </w:pPr>
            <w:r>
              <w:rPr>
                <w:b w:val="0"/>
                <w:i w:val="0"/>
                <w:sz w:val="17"/>
              </w:rPr>
              <w:t xml:space="preserve">Normalizar cada canal a un rango comparable.</w:t>
            </w:r>
          </w:p>
        </w:tc>
      </w:tr>
    </w:tbl>
    <w:p>
      <w:pPr>
        <w:spacing w:before="0" w:after="120"/>
      </w:pPr>
    </w:p>
    <w:p>
      <w:pPr>
        <w:keepNext/>
        <w:spacing w:before="160" w:after="40"/>
      </w:pPr>
      <w:r>
        <w:rPr>
          <w:b/>
          <w:i w:val="0"/>
          <w:color w:val="222834"/>
          <w:sz w:val="22"/>
        </w:rPr>
        <w:t xml:space="preserve">Recomendaciones prácticas</w:t>
      </w:r>
    </w:p>
    <w:p>
      <w:pPr>
        <w:pStyle w:val="ListBullet"/>
        <w:spacing w:after="60"/>
      </w:pPr>
      <w:r>
        <w:rPr>
          <w:b w:val="0"/>
          <w:i w:val="0"/>
          <w:sz w:val="21"/>
        </w:rPr>
        <w:t xml:space="preserve">Calcular los canales extra </w:t>
      </w:r>
      <w:r>
        <w:rPr>
          <w:b/>
          <w:i w:val="0"/>
          <w:sz w:val="21"/>
        </w:rPr>
        <w:t xml:space="preserve">una sola vez</w:t>
      </w:r>
      <w:r>
        <w:rPr>
          <w:b w:val="0"/>
          <w:i w:val="0"/>
          <w:sz w:val="21"/>
        </w:rPr>
        <w:t xml:space="preserve"> para las 60 000 imágenes y guardarlos (por ejemplo con </w:t>
      </w:r>
      <w:r>
        <w:rPr>
          <w:b w:val="0"/>
          <w:i w:val="0"/>
          <w:rFonts w:ascii="Consolas" w:hAnsi="Consolas" w:cs="Consolas"/>
          <w:color w:val="8A5A00"/>
          <w:sz w:val="20"/>
        </w:rPr>
        <w:t xml:space="preserve">np.save</w:t>
      </w:r>
      <w:r>
        <w:rPr>
          <w:b w:val="0"/>
          <w:i w:val="0"/>
          <w:sz w:val="21"/>
        </w:rPr>
        <w:t xml:space="preserve">), en lugar de recalcularlos en cada época.</w:t>
      </w:r>
    </w:p>
    <w:p>
      <w:pPr>
        <w:pStyle w:val="ListBullet"/>
        <w:spacing w:after="60"/>
      </w:pPr>
      <w:r>
        <w:rPr>
          <w:b w:val="0"/>
          <w:i w:val="0"/>
          <w:sz w:val="21"/>
        </w:rPr>
        <w:t xml:space="preserve">Si se usa aumento de datos, aplicarlo </w:t>
      </w:r>
      <w:r>
        <w:rPr>
          <w:b/>
          <w:i w:val="0"/>
          <w:sz w:val="21"/>
        </w:rPr>
        <w:t xml:space="preserve">después</w:t>
      </w:r>
      <w:r>
        <w:rPr>
          <w:b w:val="0"/>
          <w:i w:val="0"/>
          <w:sz w:val="21"/>
        </w:rPr>
        <w:t xml:space="preserve"> de concatenar los canales, y verificar que el rasgo siga siendo válido tras la transformación: por ejemplo, un volteo horizontal cambia el signo de la componente horizontal del gradiente.</w:t>
      </w:r>
    </w:p>
    <w:p>
      <w:pPr>
        <w:pStyle w:val="ListBullet"/>
        <w:spacing w:after="120"/>
      </w:pPr>
      <w:r>
        <w:rPr>
          <w:b w:val="0"/>
          <w:i w:val="0"/>
          <w:sz w:val="21"/>
        </w:rPr>
        <w:t xml:space="preserve">Una diferencia pequeña entre A y B puede deberse al azar. Si el tiempo lo permite, repetir ambos con una segunda semilla y reportar el promedio.</w:t>
      </w:r>
    </w:p>
    <w:p>
      <w:pPr>
        <w:keepNext/>
        <w:pBdr>
          <w:bottom w:val="single" w:sz="6" w:space="2" w:color="B87A00"/>
        </w:pBdr>
        <w:spacing w:before="280" w:after="80"/>
      </w:pPr>
      <w:r>
        <w:rPr>
          <w:b/>
          <w:i w:val="0"/>
          <w:color w:val="B87A00"/>
          <w:sz w:val="28"/>
        </w:rPr>
        <w:t xml:space="preserve">Interpretación del error</w:t>
      </w:r>
    </w:p>
    <w:p>
      <w:pPr>
        <w:keepNext/>
        <w:spacing w:before="20" w:after="80"/>
      </w:pPr>
      <w:r>
        <w:rPr>
          <w:b w:val="0"/>
          <w:i/>
          <w:color w:val="555B66"/>
          <w:sz w:val="21"/>
        </w:rPr>
        <w:t xml:space="preserve">La exactitud dice cuánto se equivoca el modelo; esta sección pide explicar en qué y por qué</w:t>
      </w:r>
    </w:p>
    <w:p>
      <w:pPr>
        <w:pStyle w:val="ListBullet"/>
        <w:spacing w:after="60"/>
      </w:pPr>
      <w:r>
        <w:rPr>
          <w:b/>
          <w:i w:val="0"/>
          <w:sz w:val="21"/>
        </w:rPr>
        <w:t xml:space="preserve">Matriz de confusión</w:t>
      </w:r>
      <w:r>
        <w:rPr>
          <w:b w:val="0"/>
          <w:i w:val="0"/>
          <w:sz w:val="21"/>
        </w:rPr>
        <w:t xml:space="preserve"> de 100×100 sobre el conjunto de prueba, presentada como </w:t>
      </w:r>
      <w:r>
        <w:rPr>
          <w:b/>
          <w:i w:val="0"/>
          <w:sz w:val="21"/>
        </w:rPr>
        <w:t xml:space="preserve">mapa de calor</w:t>
      </w:r>
      <w:r>
        <w:rPr>
          <w:b w:val="0"/>
          <w:i w:val="0"/>
          <w:sz w:val="21"/>
        </w:rPr>
        <w:t xml:space="preserve"> (normalizada por fila). Ordenar las clases por superclase hace visibles los bloques de confusión entre clases parecidas.</w:t>
      </w:r>
    </w:p>
    <w:p>
      <w:pPr>
        <w:pStyle w:val="ListBullet"/>
        <w:spacing w:after="60"/>
      </w:pPr>
      <w:r>
        <w:rPr>
          <w:b w:val="0"/>
          <w:i w:val="0"/>
          <w:sz w:val="21"/>
        </w:rPr>
        <w:t xml:space="preserve">Identificar las </w:t>
      </w:r>
      <w:r>
        <w:rPr>
          <w:b/>
          <w:i w:val="0"/>
          <w:sz w:val="21"/>
        </w:rPr>
        <w:t xml:space="preserve">confusiones más frecuentes</w:t>
      </w:r>
      <w:r>
        <w:rPr>
          <w:b w:val="0"/>
          <w:i w:val="0"/>
          <w:sz w:val="21"/>
        </w:rPr>
        <w:t xml:space="preserve"> (por ejemplo, los 10 pares con más errores), mostrar ejemplos de imágenes mal clasificadas y explicar si los errores ocurren </w:t>
      </w:r>
      <w:r>
        <w:rPr>
          <w:b/>
          <w:i w:val="0"/>
          <w:sz w:val="21"/>
        </w:rPr>
        <w:t xml:space="preserve">dentro de la misma superclase</w:t>
      </w:r>
      <w:r>
        <w:rPr>
          <w:b w:val="0"/>
          <w:i w:val="0"/>
          <w:sz w:val="21"/>
        </w:rPr>
        <w:t xml:space="preserve"> (error “razonable”, como roble ↔ arce) o </w:t>
      </w:r>
      <w:r>
        <w:rPr>
          <w:b/>
          <w:i w:val="0"/>
          <w:sz w:val="21"/>
        </w:rPr>
        <w:t xml:space="preserve">entre superclases distintas</w:t>
      </w:r>
      <w:r>
        <w:rPr>
          <w:b w:val="0"/>
          <w:i w:val="0"/>
          <w:sz w:val="21"/>
        </w:rPr>
        <w:t xml:space="preserve">.</w:t>
      </w:r>
    </w:p>
    <w:p>
      <w:pPr>
        <w:pStyle w:val="ListBullet"/>
        <w:spacing w:after="60"/>
      </w:pPr>
      <w:r>
        <w:rPr>
          <w:b w:val="0"/>
          <w:i w:val="0"/>
          <w:sz w:val="21"/>
        </w:rPr>
        <w:t xml:space="preserve">Señalar las clases con mejor y peor exactitud y proponer hipótesis: forma, textura, fondo, color, o la pérdida de detalle a 32×32.</w:t>
      </w:r>
    </w:p>
    <w:p>
      <w:pPr>
        <w:pStyle w:val="ListBullet"/>
        <w:spacing w:after="120"/>
      </w:pPr>
      <w:r>
        <w:rPr>
          <w:b w:val="0"/>
          <w:i w:val="0"/>
          <w:sz w:val="21"/>
        </w:rPr>
        <w:t xml:space="preserve">Relacionar las </w:t>
      </w:r>
      <w:r>
        <w:rPr>
          <w:b/>
          <w:i w:val="0"/>
          <w:sz w:val="21"/>
        </w:rPr>
        <w:t xml:space="preserve">gráficas de entrenamiento</w:t>
      </w:r>
      <w:r>
        <w:rPr>
          <w:b w:val="0"/>
          <w:i w:val="0"/>
          <w:sz w:val="21"/>
        </w:rPr>
        <w:t xml:space="preserve"> con el error: en qué época aparece el sobreajuste (separación entre entrenamiento y validación) y qué técnica lo redujo o lo habría reducido.</w:t>
      </w:r>
    </w:p>
    <w:p>
      <w:pPr>
        <w:keepNext/>
        <w:pBdr>
          <w:bottom w:val="single" w:sz="6" w:space="2" w:color="B87A00"/>
        </w:pBdr>
        <w:spacing w:before="280" w:after="80"/>
      </w:pPr>
      <w:r>
        <w:rPr>
          <w:b/>
          <w:i w:val="0"/>
          <w:color w:val="B87A00"/>
          <w:sz w:val="28"/>
        </w:rPr>
        <w:t xml:space="preserve">Script de partida</w:t>
      </w:r>
    </w:p>
    <w:p>
      <w:pPr>
        <w:spacing w:before="0" w:after="120"/>
        <w:jc w:val="both"/>
      </w:pPr>
      <w:r>
        <w:rPr>
          <w:b w:val="0"/>
          <w:i w:val="0"/>
          <w:rFonts w:ascii="Consolas" w:hAnsi="Consolas" w:cs="Consolas"/>
          <w:color w:val="8A5A00"/>
          <w:sz w:val="20"/>
        </w:rPr>
        <w:t xml:space="preserve">linea_base_mnist.py</w:t>
      </w:r>
      <w:r>
        <w:rPr>
          <w:b w:val="0"/>
          <w:i w:val="0"/>
          <w:sz w:val="21"/>
        </w:rPr>
        <w:t xml:space="preserve"> es un clasificador mínimo para MNIST con Keras 3 y backend PyTorch: carga los datos, los normaliza, define una CNN de dos bloques, la entrena tres épocas y reporta </w:t>
      </w:r>
      <w:r>
        <w:rPr>
          <w:b/>
          <w:i w:val="0"/>
          <w:sz w:val="21"/>
        </w:rPr>
        <w:t xml:space="preserve">únicamente la accuracy en el conjunto de prueba</w:t>
      </w:r>
      <w:r>
        <w:rPr>
          <w:b w:val="0"/>
          <w:i w:val="0"/>
          <w:sz w:val="21"/>
        </w:rPr>
        <w:t xml:space="preserve">. Está escrito para leerse, no para ser eficiente, y cada etapa está comentada.</w:t>
      </w:r>
    </w:p>
    <w:p>
      <w:pPr>
        <w:spacing w:before="0" w:after="120"/>
        <w:jc w:val="both"/>
      </w:pPr>
      <w:r>
        <w:rPr>
          <w:b w:val="0"/>
          <w:i w:val="0"/>
          <w:sz w:val="21"/>
        </w:rPr>
        <w:t xml:space="preserve">Todo lo demás corresponde a la actividad: adaptarlo a imágenes a color de 32×32 y 100 clases, diseñar la arquitectura dentro del límite de parámetros, conservar el historial de entrenamiento para graficarlo, construir los canales extra, obtener las predicciones para la matriz de confusión y documentar el proceso.</w:t>
      </w:r>
    </w:p>
    <w:p>
      <w:pPr>
        <w:keepNext/>
        <w:pBdr>
          <w:bottom w:val="single" w:sz="6" w:space="2" w:color="B87A00"/>
        </w:pBdr>
        <w:spacing w:before="280" w:after="80"/>
      </w:pPr>
      <w:r>
        <w:rPr>
          <w:b/>
          <w:i w:val="0"/>
          <w:color w:val="B87A00"/>
          <w:sz w:val="28"/>
        </w:rPr>
        <w:t xml:space="preserve">Entregables</w:t>
      </w:r>
    </w:p>
    <w:p>
      <w:pPr>
        <w:keepNext/>
        <w:spacing w:before="160" w:after="40"/>
      </w:pPr>
      <w:r>
        <w:rPr>
          <w:b/>
          <w:i w:val="0"/>
          <w:color w:val="222834"/>
          <w:sz w:val="22"/>
        </w:rPr>
        <w:t xml:space="preserve">Reporte (PDF)</w:t>
      </w:r>
    </w:p>
    <w:p>
      <w:pPr>
        <w:pStyle w:val="ListBullet"/>
        <w:spacing w:after="60"/>
      </w:pPr>
      <w:r>
        <w:rPr>
          <w:b w:val="0"/>
          <w:i w:val="0"/>
          <w:sz w:val="21"/>
        </w:rPr>
        <w:t xml:space="preserve">Arquitectura del modelo final: tabla de capas con la forma de salida y los parámetros de cada una (salida de </w:t>
      </w:r>
      <w:r>
        <w:rPr>
          <w:b w:val="0"/>
          <w:i w:val="0"/>
          <w:rFonts w:ascii="Consolas" w:hAnsi="Consolas" w:cs="Consolas"/>
          <w:color w:val="8A5A00"/>
          <w:sz w:val="20"/>
        </w:rPr>
        <w:t xml:space="preserve">model.summary()</w:t>
      </w:r>
      <w:r>
        <w:rPr>
          <w:b w:val="0"/>
          <w:i w:val="0"/>
          <w:sz w:val="21"/>
        </w:rPr>
        <w:t xml:space="preserve">), y el total de parámetros.</w:t>
      </w:r>
    </w:p>
    <w:p>
      <w:pPr>
        <w:pStyle w:val="ListBullet"/>
        <w:spacing w:after="60"/>
      </w:pPr>
      <w:r>
        <w:rPr>
          <w:b w:val="0"/>
          <w:i w:val="0"/>
          <w:sz w:val="21"/>
        </w:rPr>
        <w:t xml:space="preserve">Hiperparámetros y técnicas empleadas (optimizador, tasa de aprendizaje, tamaño de lote, aumento de datos, regularización) y número de épocas ejecutadas.</w:t>
      </w:r>
    </w:p>
    <w:p>
      <w:pPr>
        <w:pStyle w:val="ListBullet"/>
        <w:spacing w:after="60"/>
      </w:pPr>
      <w:r>
        <w:rPr>
          <w:b/>
          <w:i w:val="0"/>
          <w:sz w:val="21"/>
        </w:rPr>
        <w:t xml:space="preserve">Gráficas de entrenamiento:</w:t>
      </w:r>
      <w:r>
        <w:rPr>
          <w:b w:val="0"/>
          <w:i w:val="0"/>
          <w:sz w:val="21"/>
        </w:rPr>
        <w:t xml:space="preserve"> pérdida y accuracy de entrenamiento y de validación por época, para el modelo final y para los modelos A y B.</w:t>
      </w:r>
    </w:p>
    <w:p>
      <w:pPr>
        <w:pStyle w:val="ListBullet"/>
        <w:spacing w:after="60"/>
      </w:pPr>
      <w:r>
        <w:rPr>
          <w:b/>
          <w:i w:val="0"/>
          <w:sz w:val="21"/>
        </w:rPr>
        <w:t xml:space="preserve">Accuracy top-1 en el conjunto de prueba</w:t>
      </w:r>
      <w:r>
        <w:rPr>
          <w:b w:val="0"/>
          <w:i w:val="0"/>
          <w:sz w:val="21"/>
        </w:rPr>
        <w:t xml:space="preserve"> del modelo final, que es el valor que entra a la tabla de posiciones.</w:t>
      </w:r>
    </w:p>
    <w:p>
      <w:pPr>
        <w:pStyle w:val="ListBullet"/>
        <w:spacing w:after="60"/>
      </w:pPr>
      <w:r>
        <w:rPr>
          <w:b w:val="0"/>
          <w:i w:val="0"/>
          <w:sz w:val="21"/>
        </w:rPr>
        <w:t xml:space="preserve">Tabla comparativa A contra B: canales de entrada, parámetros, épocas, accuracy de validación y de prueba, con la discusión del resultado.</w:t>
      </w:r>
    </w:p>
    <w:p>
      <w:pPr>
        <w:pStyle w:val="ListBullet"/>
        <w:spacing w:after="60"/>
      </w:pPr>
      <w:r>
        <w:rPr>
          <w:b/>
          <w:i w:val="0"/>
          <w:sz w:val="21"/>
        </w:rPr>
        <w:t xml:space="preserve">Matriz de confusión</w:t>
      </w:r>
      <w:r>
        <w:rPr>
          <w:b w:val="0"/>
          <w:i w:val="0"/>
          <w:sz w:val="21"/>
        </w:rPr>
        <w:t xml:space="preserve"> como mapa de calor y la interpretación del error descrita arriba.</w:t>
      </w:r>
    </w:p>
    <w:p>
      <w:pPr>
        <w:pStyle w:val="ListBullet"/>
        <w:spacing w:after="100"/>
      </w:pPr>
      <w:r>
        <w:rPr>
          <w:b w:val="0"/>
          <w:i w:val="0"/>
          <w:sz w:val="21"/>
        </w:rPr>
        <w:t xml:space="preserve">Reflexión breve según el perfil de proyecto (sección siguiente) y conclusiones.</w:t>
      </w:r>
    </w:p>
    <w:p>
      <w:pPr>
        <w:keepNext/>
        <w:spacing w:before="160" w:after="40"/>
      </w:pPr>
      <w:r>
        <w:rPr>
          <w:b/>
          <w:i w:val="0"/>
          <w:color w:val="222834"/>
          <w:sz w:val="22"/>
        </w:rPr>
        <w:t xml:space="preserve">Script o notebook de entrenamiento</w:t>
      </w:r>
    </w:p>
    <w:p>
      <w:pPr>
        <w:spacing w:before="0" w:after="120"/>
        <w:jc w:val="both"/>
      </w:pPr>
      <w:r>
        <w:rPr>
          <w:b w:val="0"/>
          <w:i w:val="0"/>
          <w:sz w:val="21"/>
        </w:rPr>
        <w:t xml:space="preserve">No se entrega el modelo entrenado. Se entrega el script o notebook que lo genera, con la semilla fija y las versiones de las bibliotecas, como evidencia de que los resultados reportados son reproducibles.</w:t>
      </w:r>
    </w:p>
    <w:p>
      <w:pPr>
        <w:keepNext/>
        <w:pBdr>
          <w:bottom w:val="single" w:sz="6" w:space="2" w:color="B87A00"/>
        </w:pBdr>
        <w:spacing w:before="280" w:after="80"/>
      </w:pPr>
      <w:r>
        <w:rPr>
          <w:b/>
          <w:i w:val="0"/>
          <w:color w:val="B87A00"/>
          <w:sz w:val="28"/>
        </w:rPr>
        <w:t xml:space="preserve">Reflexión según el perfil de proyecto</w:t>
      </w:r>
    </w:p>
    <w:p>
      <w:pPr>
        <w:keepNext/>
        <w:spacing w:before="20" w:after="80"/>
      </w:pPr>
      <w:r>
        <w:rPr>
          <w:b w:val="0"/>
          <w:i/>
          <w:color w:val="555B66"/>
          <w:sz w:val="21"/>
        </w:rPr>
        <w:t xml:space="preserve">Un párrafo, máximo media página, conectando el resultado del concurso con el proyecto propio</w:t>
      </w:r>
    </w:p>
    <w:tbl>
      <w:tblPr>
        <w:tblStyle w:val="LightGrid-Accent1"/>
        <w:tblW w:type="dxa" w:w="8640"/>
        <w:jc w:val="center"/>
        <w:tblLook w:firstColumn="1" w:firstRow="1" w:lastColumn="0" w:lastRow="0" w:noHBand="0" w:noVBand="1" w:val="04A0"/>
      </w:tblPr>
      <w:tblGrid>
        <w:gridCol w:w="2400"/>
        <w:gridCol w:w="6240"/>
      </w:tblGrid>
      <w:tr>
        <w:trPr>
          <w:cantSplit/>
          <w:tblHeader/>
        </w:trPr>
        <w:tc>
          <w:tcPr>
            <w:tcW w:type="dxa" w:w="2400"/>
            <w:shd w:val="clear" w:color="auto" w:fill="B87A00"/>
          </w:tcPr>
          <w:p>
            <w:pPr>
              <w:spacing w:before="20" w:after="20"/>
            </w:pPr>
            <w:r>
              <w:rPr>
                <w:b/>
                <w:i w:val="0"/>
                <w:color w:val="FFFFFF"/>
                <w:sz w:val="18"/>
              </w:rPr>
              <w:t xml:space="preserve">Perfil</w:t>
            </w:r>
          </w:p>
        </w:tc>
        <w:tc>
          <w:tcPr>
            <w:tcW w:type="dxa" w:w="6240"/>
            <w:shd w:val="clear" w:color="auto" w:fill="B87A00"/>
          </w:tcPr>
          <w:p>
            <w:pPr>
              <w:spacing w:before="20" w:after="20"/>
            </w:pPr>
            <w:r>
              <w:rPr>
                <w:b/>
                <w:i w:val="0"/>
                <w:color w:val="FFFFFF"/>
                <w:sz w:val="18"/>
              </w:rPr>
              <w:t xml:space="preserve">Pregunta guía</w:t>
            </w:r>
          </w:p>
        </w:tc>
      </w:tr>
      <w:tr>
        <w:trPr>
          <w:cantSplit/>
        </w:trPr>
        <w:tc>
          <w:tcPr>
            <w:tcW w:type="dxa" w:w="2400"/>
          </w:tcPr>
          <w:p>
            <w:pPr>
              <w:spacing w:before="20" w:after="20"/>
            </w:pPr>
            <w:r>
              <w:rPr>
                <w:b/>
                <w:i w:val="0"/>
                <w:sz w:val="17"/>
              </w:rPr>
              <w:t xml:space="preserve">P1 · Red IoT (Raspberry Pi)</w:t>
            </w:r>
          </w:p>
        </w:tc>
        <w:tc>
          <w:tcPr>
            <w:tcW w:type="dxa" w:w="6240"/>
          </w:tcPr>
          <w:p>
            <w:pPr>
              <w:spacing w:before="20" w:after="20"/>
            </w:pPr>
            <w:r>
              <w:rPr>
                <w:b w:val="0"/>
                <w:i w:val="0"/>
                <w:sz w:val="17"/>
              </w:rPr>
              <w:t xml:space="preserve">Calcular un canal extra en el nodo tiene un costo. A la luz de su comparación A contra B, ¿conviene calcular LBP u otro rasgo en el borde o dejar que la red lo aprenda? ¿Qué implica el número de parámetros para la memoria del nodo?</w:t>
            </w:r>
          </w:p>
        </w:tc>
      </w:tr>
      <w:tr>
        <w:trPr>
          <w:cantSplit/>
        </w:trPr>
        <w:tc>
          <w:tcPr>
            <w:tcW w:type="dxa" w:w="2400"/>
          </w:tcPr>
          <w:p>
            <w:pPr>
              <w:spacing w:before="20" w:after="20"/>
            </w:pPr>
            <w:r>
              <w:rPr>
                <w:b/>
                <w:i w:val="0"/>
                <w:sz w:val="17"/>
              </w:rPr>
              <w:t xml:space="preserve">P2 · Mastografía</w:t>
            </w:r>
          </w:p>
        </w:tc>
        <w:tc>
          <w:tcPr>
            <w:tcW w:type="dxa" w:w="6240"/>
          </w:tcPr>
          <w:p>
            <w:pPr>
              <w:spacing w:before="20" w:after="20"/>
            </w:pPr>
            <w:r>
              <w:rPr>
                <w:b w:val="0"/>
                <w:i w:val="0"/>
                <w:sz w:val="17"/>
              </w:rPr>
              <w:t xml:space="preserve">Las mamografías son de un solo canal, bajo contraste y textura densa. ¿Qué rasgo diseñado (CLAHE, LBP u otro) tendría más sentido como canal adicional y por qué, considerando lo que observó en CIFAR-100?</w:t>
            </w:r>
          </w:p>
        </w:tc>
      </w:tr>
      <w:tr>
        <w:trPr>
          <w:cantSplit/>
        </w:trPr>
        <w:tc>
          <w:tcPr>
            <w:tcW w:type="dxa" w:w="2400"/>
          </w:tcPr>
          <w:p>
            <w:pPr>
              <w:spacing w:before="20" w:after="20"/>
            </w:pPr>
            <w:r>
              <w:rPr>
                <w:b/>
                <w:i w:val="0"/>
                <w:sz w:val="17"/>
              </w:rPr>
              <w:t xml:space="preserve">P3 · Reconstrucción 3D para ADAS</w:t>
            </w:r>
          </w:p>
        </w:tc>
        <w:tc>
          <w:tcPr>
            <w:tcW w:type="dxa" w:w="6240"/>
          </w:tcPr>
          <w:p>
            <w:pPr>
              <w:spacing w:before="20" w:after="20"/>
            </w:pPr>
            <w:r>
              <w:rPr>
                <w:b w:val="0"/>
                <w:i w:val="0"/>
                <w:sz w:val="17"/>
              </w:rPr>
              <w:t xml:space="preserve">Vehículos y peatones se distinguen por su forma. ¿Un canal orientado a forma (gradiente o HOG) ayudaría? ¿Cómo influyen la equivarianza a la traslación y los cambios de iluminación (día, atardecer, noche) en un detector convolucional?</w:t>
            </w:r>
          </w:p>
        </w:tc>
      </w:tr>
      <w:tr>
        <w:trPr>
          <w:cantSplit/>
        </w:trPr>
        <w:tc>
          <w:tcPr>
            <w:tcW w:type="dxa" w:w="2400"/>
          </w:tcPr>
          <w:p>
            <w:pPr>
              <w:spacing w:before="20" w:after="20"/>
            </w:pPr>
            <w:r>
              <w:rPr>
                <w:b/>
                <w:i w:val="0"/>
                <w:sz w:val="17"/>
              </w:rPr>
              <w:t xml:space="preserve">P4 · YOLO en plataformas ARM</w:t>
            </w:r>
          </w:p>
        </w:tc>
        <w:tc>
          <w:tcPr>
            <w:tcW w:type="dxa" w:w="6240"/>
          </w:tcPr>
          <w:p>
            <w:pPr>
              <w:spacing w:before="20" w:after="20"/>
            </w:pPr>
            <w:r>
              <w:rPr>
                <w:b w:val="0"/>
                <w:i w:val="0"/>
                <w:sz w:val="17"/>
              </w:rPr>
              <w:t xml:space="preserve">Calcule el número de multiplicaciones de cada capa convolucional de su modelo final con la fórmula de la sesión. ¿Qué capas dominan el costo y cómo se relaciona eso con la latencia esperada en ARM?</w:t>
            </w:r>
          </w:p>
        </w:tc>
      </w:tr>
      <w:tr>
        <w:trPr>
          <w:cantSplit/>
        </w:trPr>
        <w:tc>
          <w:tcPr>
            <w:tcW w:type="dxa" w:w="2400"/>
          </w:tcPr>
          <w:p>
            <w:pPr>
              <w:spacing w:before="20" w:after="20"/>
            </w:pPr>
            <w:r>
              <w:rPr>
                <w:b/>
                <w:i w:val="0"/>
                <w:sz w:val="17"/>
              </w:rPr>
              <w:t xml:space="preserve">P5 · Indicadores clínicos de diabetes</w:t>
            </w:r>
          </w:p>
        </w:tc>
        <w:tc>
          <w:tcPr>
            <w:tcW w:type="dxa" w:w="6240"/>
          </w:tcPr>
          <w:p>
            <w:pPr>
              <w:spacing w:before="20" w:after="20"/>
            </w:pPr>
            <w:r>
              <w:rPr>
                <w:b w:val="0"/>
                <w:i w:val="0"/>
                <w:sz w:val="17"/>
              </w:rPr>
              <w:t xml:space="preserve">Explique cómo se traduce la convolución 2D a una convolución 1D para datos secuenciales o tabulares. ¿Qué equivaldría en sus datos a agregar un “rasgo diseñado” como canal de entrada?</w:t>
            </w:r>
          </w:p>
        </w:tc>
      </w:tr>
    </w:tbl>
    <w:p>
      <w:pPr>
        <w:spacing w:before="0" w:after="120"/>
      </w:pPr>
    </w:p>
    <w:p>
      <w:pPr>
        <w:keepNext/>
        <w:pBdr>
          <w:bottom w:val="single" w:sz="6" w:space="2" w:color="B87A00"/>
        </w:pBdr>
        <w:spacing w:before="280" w:after="80"/>
      </w:pPr>
      <w:r>
        <w:rPr>
          <w:b/>
          <w:i w:val="0"/>
          <w:color w:val="B87A00"/>
          <w:sz w:val="28"/>
        </w:rPr>
        <w:t xml:space="preserve">Recursos de referencia</w:t>
      </w:r>
    </w:p>
    <w:p>
      <w:pPr>
        <w:pStyle w:val="ListBullet"/>
        <w:spacing w:after="40"/>
      </w:pPr>
      <w:r>
        <w:rPr>
          <w:b w:val="0"/>
          <w:i w:val="0"/>
          <w:sz w:val="21"/>
        </w:rPr>
        <w:t xml:space="preserve">Configurar el backend de Keras: </w:t>
      </w:r>
      <w:hyperlink r:id="rIdL3">
        <w:r>
          <w:rPr>
            <w:b w:val="0"/>
            <w:i w:val="0"/>
            <w:color w:val="1155CC"/>
            <w:u w:val="single"/>
            <w:sz w:val="20"/>
          </w:rPr>
          <w:t xml:space="preserve">keras.io/getting_started</w:t>
        </w:r>
      </w:hyperlink>
    </w:p>
    <w:p>
      <w:pPr>
        <w:pStyle w:val="ListBullet"/>
        <w:spacing w:after="40"/>
      </w:pPr>
      <w:r>
        <w:rPr>
          <w:b w:val="0"/>
          <w:i w:val="0"/>
          <w:sz w:val="21"/>
        </w:rPr>
        <w:t xml:space="preserve">LBP en scikit-image: </w:t>
      </w:r>
      <w:hyperlink r:id="rIdL4">
        <w:r>
          <w:rPr>
            <w:b w:val="0"/>
            <w:i w:val="0"/>
            <w:color w:val="1155CC"/>
            <w:u w:val="single"/>
            <w:sz w:val="20"/>
          </w:rPr>
          <w:t xml:space="preserve">scikit-image.org · local_binary_pattern</w:t>
        </w:r>
      </w:hyperlink>
    </w:p>
    <w:p>
      <w:pPr>
        <w:pStyle w:val="ListBullet"/>
        <w:spacing w:after="40"/>
      </w:pPr>
      <w:r>
        <w:rPr>
          <w:b w:val="0"/>
          <w:i w:val="0"/>
          <w:sz w:val="21"/>
        </w:rPr>
        <w:t xml:space="preserve">Matriz de confusión: </w:t>
      </w:r>
      <w:hyperlink r:id="rIdL5">
        <w:r>
          <w:rPr>
            <w:b w:val="0"/>
            <w:i w:val="0"/>
            <w:color w:val="1155CC"/>
            <w:u w:val="single"/>
            <w:sz w:val="20"/>
          </w:rPr>
          <w:t xml:space="preserve">scikit-learn.org · confusion_matrix</w:t>
        </w:r>
      </w:hyperlink>
    </w:p>
    <w:p>
      <w:pPr>
        <w:pStyle w:val="ListBullet"/>
        <w:spacing w:after="120"/>
      </w:pPr>
      <w:r>
        <w:rPr>
          <w:b w:val="0"/>
          <w:i w:val="0"/>
          <w:sz w:val="21"/>
        </w:rPr>
        <w:t xml:space="preserve">Aumento de datos en Keras: </w:t>
      </w:r>
      <w:hyperlink r:id="rIdL6">
        <w:r>
          <w:rPr>
            <w:b w:val="0"/>
            <w:i w:val="0"/>
            <w:color w:val="1155CC"/>
            <w:u w:val="single"/>
            <w:sz w:val="20"/>
          </w:rPr>
          <w:t xml:space="preserve">keras.io/api/layers/preprocessing_layers/image_augmentation</w:t>
        </w:r>
      </w:hyperlink>
    </w:p>
    <w:p>
      <w:pPr>
        <w:keepNext/>
        <w:pBdr>
          <w:bottom w:val="single" w:sz="6" w:space="2" w:color="B87A00"/>
        </w:pBdr>
        <w:spacing w:before="280" w:after="80"/>
      </w:pPr>
      <w:r>
        <w:rPr>
          <w:b/>
          <w:i w:val="0"/>
          <w:color w:val="B87A00"/>
          <w:sz w:val="28"/>
        </w:rPr>
        <w:t xml:space="preserve">Rúbrica de evaluación</w:t>
      </w:r>
    </w:p>
    <w:p>
      <w:pPr>
        <w:keepNext/>
        <w:spacing w:before="0" w:after="80"/>
      </w:pPr>
      <w:r>
        <w:rPr>
          <w:b w:val="0"/>
          <w:i/>
          <w:color w:val="555B66"/>
          <w:sz w:val="19"/>
        </w:rPr>
        <w:t xml:space="preserve">La escala por criterio es de 0 a 4. La calificación final pondera cada criterio según su peso.</w:t>
      </w:r>
    </w:p>
    <w:tbl>
      <w:tblPr>
        <w:tblStyle w:val="LightGrid-Accent1"/>
        <w:tblW w:type="dxa" w:w="8260"/>
        <w:jc w:val="center"/>
        <w:tblLook w:firstColumn="1" w:firstRow="1" w:lastColumn="0" w:lastRow="0" w:noHBand="0" w:noVBand="1" w:val="04A0"/>
      </w:tblPr>
      <w:tblGrid>
        <w:gridCol w:w="1650"/>
        <w:gridCol w:w="2050"/>
        <w:gridCol w:w="1900"/>
        <w:gridCol w:w="1900"/>
        <w:gridCol w:w="760"/>
      </w:tblGrid>
      <w:tr>
        <w:trPr>
          <w:cantSplit/>
          <w:tblHeader/>
        </w:trPr>
        <w:tc>
          <w:tcPr>
            <w:tcW w:type="dxa" w:w="1650"/>
            <w:shd w:val="clear" w:color="auto" w:fill="B87A00"/>
          </w:tcPr>
          <w:p>
            <w:pPr>
              <w:spacing w:before="20" w:after="20"/>
            </w:pPr>
            <w:r>
              <w:rPr>
                <w:b/>
                <w:i w:val="0"/>
                <w:color w:val="FFFFFF"/>
                <w:sz w:val="18"/>
              </w:rPr>
              <w:t xml:space="preserve">Criterio</w:t>
            </w:r>
          </w:p>
        </w:tc>
        <w:tc>
          <w:tcPr>
            <w:tcW w:type="dxa" w:w="2050"/>
            <w:shd w:val="clear" w:color="auto" w:fill="B87A00"/>
          </w:tcPr>
          <w:p>
            <w:pPr>
              <w:spacing w:before="20" w:after="20"/>
            </w:pPr>
            <w:r>
              <w:rPr>
                <w:b/>
                <w:i w:val="0"/>
                <w:color w:val="FFFFFF"/>
                <w:sz w:val="18"/>
              </w:rPr>
              <w:t xml:space="preserve">Excelente (4)</w:t>
            </w:r>
          </w:p>
        </w:tc>
        <w:tc>
          <w:tcPr>
            <w:tcW w:type="dxa" w:w="1900"/>
            <w:shd w:val="clear" w:color="auto" w:fill="B87A00"/>
          </w:tcPr>
          <w:p>
            <w:pPr>
              <w:spacing w:before="20" w:after="20"/>
            </w:pPr>
            <w:r>
              <w:rPr>
                <w:b/>
                <w:i w:val="0"/>
                <w:color w:val="FFFFFF"/>
                <w:sz w:val="18"/>
              </w:rPr>
              <w:t xml:space="preserve">Suficiente (2 a 3)</w:t>
            </w:r>
          </w:p>
        </w:tc>
        <w:tc>
          <w:tcPr>
            <w:tcW w:type="dxa" w:w="1900"/>
            <w:shd w:val="clear" w:color="auto" w:fill="B87A00"/>
          </w:tcPr>
          <w:p>
            <w:pPr>
              <w:spacing w:before="20" w:after="20"/>
            </w:pPr>
            <w:r>
              <w:rPr>
                <w:b/>
                <w:i w:val="0"/>
                <w:color w:val="FFFFFF"/>
                <w:sz w:val="18"/>
              </w:rPr>
              <w:t xml:space="preserve">Insuficiente (0 a 1)</w:t>
            </w:r>
          </w:p>
        </w:tc>
        <w:tc>
          <w:tcPr>
            <w:tcW w:type="dxa" w:w="760"/>
            <w:shd w:val="clear" w:color="auto" w:fill="B87A00"/>
          </w:tcPr>
          <w:p>
            <w:pPr>
              <w:spacing w:before="20" w:after="20"/>
            </w:pPr>
            <w:r>
              <w:rPr>
                <w:b/>
                <w:i w:val="0"/>
                <w:color w:val="FFFFFF"/>
                <w:sz w:val="18"/>
              </w:rPr>
              <w:t xml:space="preserve">Peso</w:t>
            </w:r>
          </w:p>
        </w:tc>
      </w:tr>
      <w:tr>
        <w:trPr>
          <w:cantSplit/>
        </w:trPr>
        <w:tc>
          <w:tcPr>
            <w:tcW w:type="dxa" w:w="1650"/>
          </w:tcPr>
          <w:p>
            <w:pPr>
              <w:spacing w:before="20" w:after="20"/>
            </w:pPr>
            <w:r>
              <w:rPr>
                <w:b/>
                <w:i w:val="0"/>
                <w:sz w:val="17"/>
              </w:rPr>
              <w:t xml:space="preserve">Corrección técnica</w:t>
            </w:r>
          </w:p>
        </w:tc>
        <w:tc>
          <w:tcPr>
            <w:tcW w:type="dxa" w:w="2050"/>
          </w:tcPr>
          <w:p>
            <w:pPr>
              <w:spacing w:before="20" w:after="20"/>
            </w:pPr>
            <w:r>
              <w:rPr>
                <w:b w:val="0"/>
                <w:i w:val="0"/>
                <w:sz w:val="17"/>
              </w:rPr>
              <w:t xml:space="preserve">El modelo cumple todas las reglas (parámetros, épocas, sin preentrenamiento, prueba sin tocar), entrena sin errores y los resultados son consistentes.</w:t>
            </w:r>
          </w:p>
        </w:tc>
        <w:tc>
          <w:tcPr>
            <w:tcW w:type="dxa" w:w="1900"/>
          </w:tcPr>
          <w:p>
            <w:pPr>
              <w:spacing w:before="20" w:after="20"/>
            </w:pPr>
            <w:r>
              <w:rPr>
                <w:b w:val="0"/>
                <w:i w:val="0"/>
                <w:sz w:val="17"/>
              </w:rPr>
              <w:t xml:space="preserve">Cumple las reglas con errores menores o resultados parcialmente consistentes.</w:t>
            </w:r>
          </w:p>
        </w:tc>
        <w:tc>
          <w:tcPr>
            <w:tcW w:type="dxa" w:w="1900"/>
          </w:tcPr>
          <w:p>
            <w:pPr>
              <w:spacing w:before="20" w:after="20"/>
            </w:pPr>
            <w:r>
              <w:rPr>
                <w:b w:val="0"/>
                <w:i w:val="0"/>
                <w:sz w:val="17"/>
              </w:rPr>
              <w:t xml:space="preserve">Incumple alguna regla o los resultados son incorrectos.</w:t>
            </w:r>
          </w:p>
        </w:tc>
        <w:tc>
          <w:tcPr>
            <w:tcW w:type="dxa" w:w="760"/>
          </w:tcPr>
          <w:p>
            <w:pPr>
              <w:spacing w:before="20" w:after="20"/>
            </w:pPr>
            <w:r>
              <w:rPr>
                <w:b w:val="0"/>
                <w:i w:val="0"/>
                <w:sz w:val="17"/>
              </w:rPr>
              <w:t xml:space="preserve">20%</w:t>
            </w:r>
          </w:p>
        </w:tc>
      </w:tr>
      <w:tr>
        <w:trPr>
          <w:cantSplit/>
        </w:trPr>
        <w:tc>
          <w:tcPr>
            <w:tcW w:type="dxa" w:w="1650"/>
          </w:tcPr>
          <w:p>
            <w:pPr>
              <w:spacing w:before="20" w:after="20"/>
            </w:pPr>
            <w:r>
              <w:rPr>
                <w:b/>
                <w:i w:val="0"/>
                <w:sz w:val="17"/>
              </w:rPr>
              <w:t xml:space="preserve">Dominio conceptual</w:t>
            </w:r>
          </w:p>
        </w:tc>
        <w:tc>
          <w:tcPr>
            <w:tcW w:type="dxa" w:w="2050"/>
          </w:tcPr>
          <w:p>
            <w:pPr>
              <w:spacing w:before="20" w:after="20"/>
            </w:pPr>
            <w:r>
              <w:rPr>
                <w:b w:val="0"/>
                <w:i w:val="0"/>
                <w:sz w:val="17"/>
              </w:rPr>
              <w:t xml:space="preserve">Justifica la arquitectura (dimensiones y parámetros por capa), explica cómo codificó el rasgo diseñado y conecta el resultado con su perfil.</w:t>
            </w:r>
          </w:p>
        </w:tc>
        <w:tc>
          <w:tcPr>
            <w:tcW w:type="dxa" w:w="1900"/>
          </w:tcPr>
          <w:p>
            <w:pPr>
              <w:spacing w:before="20" w:after="20"/>
            </w:pPr>
            <w:r>
              <w:rPr>
                <w:b w:val="0"/>
                <w:i w:val="0"/>
                <w:sz w:val="17"/>
              </w:rPr>
              <w:t xml:space="preserve">Explica de forma general, con imprecisiones o sin conectar con su perfil.</w:t>
            </w:r>
          </w:p>
        </w:tc>
        <w:tc>
          <w:tcPr>
            <w:tcW w:type="dxa" w:w="1900"/>
          </w:tcPr>
          <w:p>
            <w:pPr>
              <w:spacing w:before="20" w:after="20"/>
            </w:pPr>
            <w:r>
              <w:rPr>
                <w:b w:val="0"/>
                <w:i w:val="0"/>
                <w:sz w:val="17"/>
              </w:rPr>
              <w:t xml:space="preserve">No explica o los conceptos son erróneos.</w:t>
            </w:r>
          </w:p>
        </w:tc>
        <w:tc>
          <w:tcPr>
            <w:tcW w:type="dxa" w:w="760"/>
          </w:tcPr>
          <w:p>
            <w:pPr>
              <w:spacing w:before="20" w:after="20"/>
            </w:pPr>
            <w:r>
              <w:rPr>
                <w:b w:val="0"/>
                <w:i w:val="0"/>
                <w:sz w:val="17"/>
              </w:rPr>
              <w:t xml:space="preserve">15%</w:t>
            </w:r>
          </w:p>
        </w:tc>
      </w:tr>
      <w:tr>
        <w:trPr>
          <w:cantSplit/>
        </w:trPr>
        <w:tc>
          <w:tcPr>
            <w:tcW w:type="dxa" w:w="1650"/>
          </w:tcPr>
          <w:p>
            <w:pPr>
              <w:spacing w:before="20" w:after="20"/>
            </w:pPr>
            <w:r>
              <w:rPr>
                <w:b/>
                <w:i w:val="0"/>
                <w:sz w:val="17"/>
              </w:rPr>
              <w:t xml:space="preserve">Experimento A contra B</w:t>
            </w:r>
          </w:p>
        </w:tc>
        <w:tc>
          <w:tcPr>
            <w:tcW w:type="dxa" w:w="2050"/>
          </w:tcPr>
          <w:p>
            <w:pPr>
              <w:spacing w:before="20" w:after="20"/>
            </w:pPr>
            <w:r>
              <w:rPr>
                <w:b w:val="0"/>
                <w:i w:val="0"/>
                <w:sz w:val="17"/>
              </w:rPr>
              <w:t xml:space="preserve">Comparación controlada (una sola variable), con evidencia y conclusiones válidas sobre rasgos diseñados frente a aprendidos.</w:t>
            </w:r>
          </w:p>
        </w:tc>
        <w:tc>
          <w:tcPr>
            <w:tcW w:type="dxa" w:w="1900"/>
          </w:tcPr>
          <w:p>
            <w:pPr>
              <w:spacing w:before="20" w:after="20"/>
            </w:pPr>
            <w:r>
              <w:rPr>
                <w:b w:val="0"/>
                <w:i w:val="0"/>
                <w:sz w:val="17"/>
              </w:rPr>
              <w:t xml:space="preserve">Comparación con más de una variable cambiada o conclusiones poco sustentadas.</w:t>
            </w:r>
          </w:p>
        </w:tc>
        <w:tc>
          <w:tcPr>
            <w:tcW w:type="dxa" w:w="1900"/>
          </w:tcPr>
          <w:p>
            <w:pPr>
              <w:spacing w:before="20" w:after="20"/>
            </w:pPr>
            <w:r>
              <w:rPr>
                <w:b w:val="0"/>
                <w:i w:val="0"/>
                <w:sz w:val="17"/>
              </w:rPr>
              <w:t xml:space="preserve">No presenta la comparación.</w:t>
            </w:r>
          </w:p>
        </w:tc>
        <w:tc>
          <w:tcPr>
            <w:tcW w:type="dxa" w:w="760"/>
          </w:tcPr>
          <w:p>
            <w:pPr>
              <w:spacing w:before="20" w:after="20"/>
            </w:pPr>
            <w:r>
              <w:rPr>
                <w:b w:val="0"/>
                <w:i w:val="0"/>
                <w:sz w:val="17"/>
              </w:rPr>
              <w:t xml:space="preserve">20%</w:t>
            </w:r>
          </w:p>
        </w:tc>
      </w:tr>
      <w:tr>
        <w:trPr>
          <w:cantSplit/>
        </w:trPr>
        <w:tc>
          <w:tcPr>
            <w:tcW w:type="dxa" w:w="1650"/>
          </w:tcPr>
          <w:p>
            <w:pPr>
              <w:spacing w:before="20" w:after="20"/>
            </w:pPr>
            <w:r>
              <w:rPr>
                <w:b/>
                <w:i w:val="0"/>
                <w:sz w:val="17"/>
              </w:rPr>
              <w:t xml:space="preserve">Interpretación del error</w:t>
            </w:r>
          </w:p>
        </w:tc>
        <w:tc>
          <w:tcPr>
            <w:tcW w:type="dxa" w:w="2050"/>
          </w:tcPr>
          <w:p>
            <w:pPr>
              <w:spacing w:before="20" w:after="20"/>
            </w:pPr>
            <w:r>
              <w:rPr>
                <w:b w:val="0"/>
                <w:i w:val="0"/>
                <w:sz w:val="17"/>
              </w:rPr>
              <w:t xml:space="preserve">Lee la matriz de confusión, identifica confusiones frecuentes dentro y entre superclases, relaciona las curvas con el sobreajuste y propone hipótesis verificables.</w:t>
            </w:r>
          </w:p>
        </w:tc>
        <w:tc>
          <w:tcPr>
            <w:tcW w:type="dxa" w:w="1900"/>
          </w:tcPr>
          <w:p>
            <w:pPr>
              <w:spacing w:before="20" w:after="20"/>
            </w:pPr>
            <w:r>
              <w:rPr>
                <w:b w:val="0"/>
                <w:i w:val="0"/>
                <w:sz w:val="17"/>
              </w:rPr>
              <w:t xml:space="preserve">Presenta la matriz y las curvas con una interpretación superficial.</w:t>
            </w:r>
          </w:p>
        </w:tc>
        <w:tc>
          <w:tcPr>
            <w:tcW w:type="dxa" w:w="1900"/>
          </w:tcPr>
          <w:p>
            <w:pPr>
              <w:spacing w:before="20" w:after="20"/>
            </w:pPr>
            <w:r>
              <w:rPr>
                <w:b w:val="0"/>
                <w:i w:val="0"/>
                <w:sz w:val="17"/>
              </w:rPr>
              <w:t xml:space="preserve">No interpreta el error o falta la matriz.</w:t>
            </w:r>
          </w:p>
        </w:tc>
        <w:tc>
          <w:tcPr>
            <w:tcW w:type="dxa" w:w="760"/>
          </w:tcPr>
          <w:p>
            <w:pPr>
              <w:spacing w:before="20" w:after="20"/>
            </w:pPr>
            <w:r>
              <w:rPr>
                <w:b w:val="0"/>
                <w:i w:val="0"/>
                <w:sz w:val="17"/>
              </w:rPr>
              <w:t xml:space="preserve">20%</w:t>
            </w:r>
          </w:p>
        </w:tc>
      </w:tr>
      <w:tr>
        <w:trPr>
          <w:cantSplit/>
        </w:trPr>
        <w:tc>
          <w:tcPr>
            <w:tcW w:type="dxa" w:w="1650"/>
          </w:tcPr>
          <w:p>
            <w:pPr>
              <w:spacing w:before="20" w:after="20"/>
            </w:pPr>
            <w:r>
              <w:rPr>
                <w:b/>
                <w:i w:val="0"/>
                <w:sz w:val="17"/>
              </w:rPr>
              <w:t xml:space="preserve">Evidencia y reproducibilidad</w:t>
            </w:r>
          </w:p>
        </w:tc>
        <w:tc>
          <w:tcPr>
            <w:tcW w:type="dxa" w:w="2050"/>
          </w:tcPr>
          <w:p>
            <w:pPr>
              <w:spacing w:before="20" w:after="20"/>
            </w:pPr>
            <w:r>
              <w:rPr>
                <w:b w:val="0"/>
                <w:i w:val="0"/>
                <w:sz w:val="17"/>
              </w:rPr>
              <w:t xml:space="preserve">Gráficas rotuladas que sustentan cada afirmación; script con semilla y versiones que reproduce los resultados.</w:t>
            </w:r>
          </w:p>
        </w:tc>
        <w:tc>
          <w:tcPr>
            <w:tcW w:type="dxa" w:w="1900"/>
          </w:tcPr>
          <w:p>
            <w:pPr>
              <w:spacing w:before="20" w:after="20"/>
            </w:pPr>
            <w:r>
              <w:rPr>
                <w:b w:val="0"/>
                <w:i w:val="0"/>
                <w:sz w:val="17"/>
              </w:rPr>
              <w:t xml:space="preserve">Evidencia incompleta o script difícil de reproducir.</w:t>
            </w:r>
          </w:p>
        </w:tc>
        <w:tc>
          <w:tcPr>
            <w:tcW w:type="dxa" w:w="1900"/>
          </w:tcPr>
          <w:p>
            <w:pPr>
              <w:spacing w:before="20" w:after="20"/>
            </w:pPr>
            <w:r>
              <w:rPr>
                <w:b w:val="0"/>
                <w:i w:val="0"/>
                <w:sz w:val="17"/>
              </w:rPr>
              <w:t xml:space="preserve">Evidencia ausente o no reproducible.</w:t>
            </w:r>
          </w:p>
        </w:tc>
        <w:tc>
          <w:tcPr>
            <w:tcW w:type="dxa" w:w="760"/>
          </w:tcPr>
          <w:p>
            <w:pPr>
              <w:spacing w:before="20" w:after="20"/>
            </w:pPr>
            <w:r>
              <w:rPr>
                <w:b w:val="0"/>
                <w:i w:val="0"/>
                <w:sz w:val="17"/>
              </w:rPr>
              <w:t xml:space="preserve">15%</w:t>
            </w:r>
          </w:p>
        </w:tc>
      </w:tr>
      <w:tr>
        <w:trPr>
          <w:cantSplit/>
        </w:trPr>
        <w:tc>
          <w:tcPr>
            <w:tcW w:type="dxa" w:w="1650"/>
          </w:tcPr>
          <w:p>
            <w:pPr>
              <w:spacing w:before="20" w:after="20"/>
            </w:pPr>
            <w:r>
              <w:rPr>
                <w:b/>
                <w:i w:val="0"/>
                <w:sz w:val="17"/>
              </w:rPr>
              <w:t xml:space="preserve">Posición en el concurso</w:t>
            </w:r>
          </w:p>
        </w:tc>
        <w:tc>
          <w:tcPr>
            <w:tcW w:type="dxa" w:w="2050"/>
          </w:tcPr>
          <w:p>
            <w:pPr>
              <w:spacing w:before="20" w:after="20"/>
            </w:pPr>
            <w:r>
              <w:rPr>
                <w:b w:val="0"/>
                <w:i w:val="0"/>
                <w:sz w:val="17"/>
              </w:rPr>
              <w:t xml:space="preserve">Entre los tres primeros lugares.</w:t>
            </w:r>
          </w:p>
        </w:tc>
        <w:tc>
          <w:tcPr>
            <w:tcW w:type="dxa" w:w="1900"/>
          </w:tcPr>
          <w:p>
            <w:pPr>
              <w:spacing w:before="20" w:after="20"/>
            </w:pPr>
            <w:r>
              <w:rPr>
                <w:b w:val="0"/>
                <w:i w:val="0"/>
                <w:sz w:val="17"/>
              </w:rPr>
              <w:t xml:space="preserve">Por encima (3) o por debajo (2) de la mediana del grupo.</w:t>
            </w:r>
          </w:p>
        </w:tc>
        <w:tc>
          <w:tcPr>
            <w:tcW w:type="dxa" w:w="1900"/>
          </w:tcPr>
          <w:p>
            <w:pPr>
              <w:spacing w:before="20" w:after="20"/>
            </w:pPr>
            <w:r>
              <w:rPr>
                <w:b w:val="0"/>
                <w:i w:val="0"/>
                <w:sz w:val="17"/>
              </w:rPr>
              <w:t xml:space="preserve">No reporta la accuracy de prueba o incumple las reglas.</w:t>
            </w:r>
          </w:p>
        </w:tc>
        <w:tc>
          <w:tcPr>
            <w:tcW w:type="dxa" w:w="760"/>
          </w:tcPr>
          <w:p>
            <w:pPr>
              <w:spacing w:before="20" w:after="20"/>
            </w:pPr>
            <w:r>
              <w:rPr>
                <w:b w:val="0"/>
                <w:i w:val="0"/>
                <w:sz w:val="17"/>
              </w:rPr>
              <w:t xml:space="preserve">10%</w:t>
            </w:r>
          </w:p>
        </w:tc>
      </w:tr>
    </w:tbl>
    <w:p>
      <w:pPr>
        <w:spacing w:before="0" w:after="120"/>
      </w:pPr>
    </w:p>
    <w:p>
      <w:pPr>
        <w:spacing w:before="0" w:after="120"/>
      </w:pPr>
      <w:r>
        <w:rPr>
          <w:b w:val="0"/>
          <w:i/>
          <w:color w:val="555B66"/>
          <w:sz w:val="19"/>
        </w:rPr>
        <w:t xml:space="preserve">La calificación final es la suma ponderada de los seis criterios sobre la escala de 4, normalizada a la escala del curso. La actividad se revisa en la sesión siguiente, donde se presenta la tabla de posiciones.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1" Type="http://schemas.openxmlformats.org/officeDocument/2006/relationships/hyperlink" Target="https://www.cs.toronto.edu/~kriz/cifar.html" TargetMode="External"/><Relationship Id="rIdL2" Type="http://schemas.openxmlformats.org/officeDocument/2006/relationships/hyperlink" Target="https://keras.io/api/datasets/cifar100/" TargetMode="External"/><Relationship Id="rIdL3" Type="http://schemas.openxmlformats.org/officeDocument/2006/relationships/hyperlink" Target="https://keras.io/getting_started/" TargetMode="External"/><Relationship Id="rIdL4" Type="http://schemas.openxmlformats.org/officeDocument/2006/relationships/hyperlink" Target="https://scikit-image.org/docs/stable/api/skimage.feature.html#skimage.feature.local_binary_pattern" TargetMode="External"/><Relationship Id="rIdL5" Type="http://schemas.openxmlformats.org/officeDocument/2006/relationships/hyperlink" Target="https://scikit-learn.org/stable/modules/generated/sklearn.metrics.confusion_matrix.html" TargetMode="External"/><Relationship Id="rIdL6" Type="http://schemas.openxmlformats.org/officeDocument/2006/relationships/hyperlink" Target="https://keras.io/api/layers/preprocessing_layers/image_au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