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Ministère de la Défense Nationale a été créée par l’Ordonnance N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 023/PRG/ du 16 Décembre 1958, portant création de l’Armée Nationale de la République de Guinée, et modifié par le Décret numéro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D/2014/091/PRG/SGG du 11 Avril 2014.</w:t>
      </w:r>
    </w:p>
    <w:p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Selon les termes de ce Décret, le Ministère de la Défense Nationale a pour mission la mise en œuvre de la politique définie par le Gouvernement en matière de Défense nationale.</w:t>
      </w:r>
    </w:p>
    <w:p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cet titre, il est particulièrement chargé de :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Veiller à la garantie de la défense et de l’intégrité du territoire national contre toutes formes d’agression ;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Défendre et sauvegarder les institutions de la République ;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Veiller à la défense des intérêts vitaux de la Nation ;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Veiller à la surveillance et la défense des espaces aériens et maritimes du territoire national ;</w:t>
      </w:r>
    </w:p>
    <w:p>
      <w:pPr>
        <w:pStyle w:val="4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Veiller à la défense de la zone économique exclusive de la République de Guinée ;</w:t>
      </w:r>
    </w:p>
    <w:p>
      <w:pPr>
        <w:pStyle w:val="4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Veiller à la bonne gestion du patrimoine de l’Armée.</w:t>
      </w:r>
    </w:p>
    <w:p>
      <w:pPr>
        <w:pStyle w:val="4"/>
        <w:rPr>
          <w:rFonts w:ascii="Times New Roman" w:hAnsi="Times New Roman"/>
          <w:sz w:val="24"/>
          <w:szCs w:val="24"/>
        </w:rPr>
      </w:pPr>
    </w:p>
    <w:p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Pour l’accomplissement de ses missions, le Ministère de la Défense Nationale dispose des structures suivantes :</w:t>
      </w:r>
    </w:p>
    <w:p>
      <w:pPr>
        <w:pStyle w:val="4"/>
        <w:numPr>
          <w:ilvl w:val="0"/>
          <w:numId w:val="2"/>
        </w:numPr>
        <w:spacing w:after="0" w:line="24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Une Direction de Cabinet ;</w:t>
      </w:r>
    </w:p>
    <w:p>
      <w:pPr>
        <w:pStyle w:val="4"/>
        <w:numPr>
          <w:ilvl w:val="0"/>
          <w:numId w:val="2"/>
        </w:numPr>
        <w:spacing w:after="0" w:line="24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Cabinet du Ministre ;</w:t>
      </w:r>
    </w:p>
    <w:p>
      <w:pPr>
        <w:pStyle w:val="4"/>
        <w:numPr>
          <w:ilvl w:val="0"/>
          <w:numId w:val="2"/>
        </w:numPr>
        <w:spacing w:after="0" w:line="24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Services d’appui ;</w:t>
      </w:r>
    </w:p>
    <w:p>
      <w:pPr>
        <w:pStyle w:val="4"/>
        <w:numPr>
          <w:ilvl w:val="0"/>
          <w:numId w:val="2"/>
        </w:numPr>
        <w:spacing w:after="0" w:line="24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Pôle de Relations Internationales de Défense ;</w:t>
      </w:r>
    </w:p>
    <w:p>
      <w:pPr>
        <w:pStyle w:val="4"/>
        <w:numPr>
          <w:ilvl w:val="0"/>
          <w:numId w:val="2"/>
        </w:numPr>
        <w:spacing w:after="0" w:line="24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Services rattachés ;</w:t>
      </w:r>
    </w:p>
    <w:p>
      <w:pPr>
        <w:pStyle w:val="4"/>
        <w:numPr>
          <w:ilvl w:val="0"/>
          <w:numId w:val="2"/>
        </w:numPr>
        <w:spacing w:after="0" w:line="24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Organes Consultatifs ;</w:t>
      </w:r>
    </w:p>
    <w:p>
      <w:pPr>
        <w:pStyle w:val="4"/>
        <w:numPr>
          <w:ilvl w:val="0"/>
          <w:numId w:val="2"/>
        </w:numPr>
        <w:spacing w:after="0" w:line="240" w:lineRule="auto"/>
        <w:ind w:left="99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 Organismes de Commandement.</w:t>
      </w:r>
    </w:p>
    <w:p>
      <w:pPr>
        <w:pStyle w:val="4"/>
        <w:ind w:left="1701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de Cabinet comprend le Directeur de Cabinet assisté de son secrétariat.</w:t>
      </w:r>
    </w:p>
    <w:p>
      <w:pPr>
        <w:pStyle w:val="4"/>
        <w:ind w:left="2421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Cabinet du Ministre comprend :</w:t>
      </w:r>
    </w:p>
    <w:p>
      <w:pPr>
        <w:pStyle w:val="4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5"/>
        </w:numPr>
        <w:spacing w:after="0" w:line="240" w:lineRule="auto"/>
        <w:ind w:left="1134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Chef de Cabinet ;</w:t>
      </w:r>
    </w:p>
    <w:p>
      <w:pPr>
        <w:pStyle w:val="4"/>
        <w:numPr>
          <w:ilvl w:val="0"/>
          <w:numId w:val="5"/>
        </w:numPr>
        <w:spacing w:after="0" w:line="240" w:lineRule="auto"/>
        <w:ind w:left="1134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Secrétariat Central ;</w:t>
      </w:r>
    </w:p>
    <w:p>
      <w:pPr>
        <w:pStyle w:val="4"/>
        <w:numPr>
          <w:ilvl w:val="0"/>
          <w:numId w:val="5"/>
        </w:numPr>
        <w:spacing w:after="0" w:line="240" w:lineRule="auto"/>
        <w:ind w:left="1134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Secrétariat Particulier du Ministre ;</w:t>
      </w:r>
    </w:p>
    <w:p>
      <w:pPr>
        <w:pStyle w:val="4"/>
        <w:numPr>
          <w:ilvl w:val="0"/>
          <w:numId w:val="5"/>
        </w:numPr>
        <w:spacing w:after="0" w:line="240" w:lineRule="auto"/>
        <w:ind w:left="1134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Attaché de Cabinet ;</w:t>
      </w:r>
    </w:p>
    <w:p>
      <w:pPr>
        <w:pStyle w:val="4"/>
        <w:numPr>
          <w:ilvl w:val="0"/>
          <w:numId w:val="5"/>
        </w:numPr>
        <w:spacing w:after="0" w:line="240" w:lineRule="auto"/>
        <w:ind w:left="1134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Service Administratif et Financier ;</w:t>
      </w:r>
    </w:p>
    <w:p>
      <w:pPr>
        <w:pStyle w:val="4"/>
        <w:numPr>
          <w:ilvl w:val="0"/>
          <w:numId w:val="5"/>
        </w:numPr>
        <w:spacing w:after="0" w:line="240" w:lineRule="auto"/>
        <w:ind w:left="1134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Service des Moyens Généraux ;</w:t>
      </w:r>
    </w:p>
    <w:p>
      <w:pPr>
        <w:pStyle w:val="4"/>
        <w:numPr>
          <w:ilvl w:val="0"/>
          <w:numId w:val="5"/>
        </w:numPr>
        <w:spacing w:after="0" w:line="240" w:lineRule="auto"/>
        <w:ind w:left="1134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Aide de Camp ;</w:t>
      </w:r>
    </w:p>
    <w:p>
      <w:pPr>
        <w:pStyle w:val="4"/>
        <w:numPr>
          <w:ilvl w:val="0"/>
          <w:numId w:val="5"/>
        </w:numPr>
        <w:spacing w:after="0" w:line="240" w:lineRule="auto"/>
        <w:ind w:left="1134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Onze (11) Conseillers Techniques ;</w:t>
      </w:r>
    </w:p>
    <w:p>
      <w:pPr>
        <w:pStyle w:val="4"/>
        <w:numPr>
          <w:ilvl w:val="0"/>
          <w:numId w:val="5"/>
        </w:numPr>
        <w:spacing w:after="0" w:line="240" w:lineRule="auto"/>
        <w:ind w:left="1134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Deux (02) Chargés de Mission.</w:t>
      </w:r>
    </w:p>
    <w:p>
      <w:pPr>
        <w:pStyle w:val="4"/>
        <w:ind w:left="3141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Les Services d’Appui comprennent :</w:t>
      </w:r>
    </w:p>
    <w:p>
      <w:pPr>
        <w:pStyle w:val="4"/>
        <w:numPr>
          <w:ilvl w:val="0"/>
          <w:numId w:val="6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Générale des Ressources Humaines ;</w:t>
      </w:r>
    </w:p>
    <w:p>
      <w:pPr>
        <w:pStyle w:val="4"/>
        <w:numPr>
          <w:ilvl w:val="0"/>
          <w:numId w:val="6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Générale de l’Intendance Militaire ;</w:t>
      </w:r>
    </w:p>
    <w:p>
      <w:pPr>
        <w:pStyle w:val="4"/>
        <w:numPr>
          <w:ilvl w:val="0"/>
          <w:numId w:val="6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Générale des Pensions Militaires et Anciens Combattants ;</w:t>
      </w:r>
    </w:p>
    <w:p>
      <w:pPr>
        <w:pStyle w:val="4"/>
        <w:numPr>
          <w:ilvl w:val="0"/>
          <w:numId w:val="6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Générale des Domaines et Infrastructures Militaires ;</w:t>
      </w:r>
      <w:bookmarkStart w:id="0" w:name="_GoBack"/>
      <w:bookmarkEnd w:id="0"/>
    </w:p>
    <w:p>
      <w:pPr>
        <w:pStyle w:val="4"/>
        <w:numPr>
          <w:ilvl w:val="0"/>
          <w:numId w:val="6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Générale de l’Informatique, des Nouvelles Technologies de l’Information et de la Communication ;</w:t>
      </w:r>
    </w:p>
    <w:p>
      <w:pPr>
        <w:pStyle w:val="4"/>
        <w:numPr>
          <w:ilvl w:val="0"/>
          <w:numId w:val="6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Générale du Patrimoine historique, archives et musées des Armées.</w:t>
      </w:r>
    </w:p>
    <w:p>
      <w:pPr>
        <w:pStyle w:val="4"/>
        <w:ind w:left="2127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Pôle Relations internationales de Défense comprend :</w:t>
      </w:r>
    </w:p>
    <w:p>
      <w:pPr>
        <w:pStyle w:val="4"/>
        <w:numPr>
          <w:ilvl w:val="0"/>
          <w:numId w:val="7"/>
        </w:numPr>
        <w:spacing w:after="0" w:line="240" w:lineRule="auto"/>
        <w:ind w:left="21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Générale des Relations Extérieures et de la coopération militaire ;</w:t>
      </w:r>
    </w:p>
    <w:p>
      <w:pPr>
        <w:pStyle w:val="4"/>
        <w:numPr>
          <w:ilvl w:val="0"/>
          <w:numId w:val="7"/>
        </w:numPr>
        <w:spacing w:after="0" w:line="240" w:lineRule="auto"/>
        <w:ind w:left="21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Générale des Etudes stratégiques et de la prospective.</w:t>
      </w:r>
    </w:p>
    <w:p>
      <w:pPr>
        <w:pStyle w:val="4"/>
        <w:ind w:left="2127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Les Services Rattachés comprennent :</w:t>
      </w:r>
    </w:p>
    <w:p>
      <w:pPr>
        <w:pStyle w:val="4"/>
        <w:numPr>
          <w:ilvl w:val="0"/>
          <w:numId w:val="8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L’Inspection Générale des Forces Armées ;</w:t>
      </w:r>
    </w:p>
    <w:p>
      <w:pPr>
        <w:pStyle w:val="4"/>
        <w:numPr>
          <w:ilvl w:val="0"/>
          <w:numId w:val="8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Commission Nationale de Lutte contre la Prolifération et la Circulation Illicite des Armes Légères et du Petit Calibre ;</w:t>
      </w:r>
    </w:p>
    <w:p>
      <w:pPr>
        <w:pStyle w:val="4"/>
        <w:numPr>
          <w:ilvl w:val="0"/>
          <w:numId w:val="8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de l’information et des Relations publiques des Armées ;</w:t>
      </w:r>
    </w:p>
    <w:p>
      <w:pPr>
        <w:pStyle w:val="4"/>
        <w:numPr>
          <w:ilvl w:val="0"/>
          <w:numId w:val="8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Direction du Renseignement de Défense et de la sécurité Militaire.</w:t>
      </w:r>
    </w:p>
    <w:p>
      <w:pPr>
        <w:pStyle w:val="4"/>
        <w:ind w:left="241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Les Organes Consultatifs comprennent :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Comité des Chefs d’Etats major ;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Comité Civilo-Militaire ;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Comité Technique Sectoriel Défense ;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L’Office National des Anciens Combattants.</w:t>
      </w:r>
    </w:p>
    <w:p>
      <w:pPr>
        <w:pStyle w:val="4"/>
        <w:ind w:left="2160"/>
        <w:jc w:val="both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Les Organes de Commandement comprennent :</w:t>
      </w:r>
    </w:p>
    <w:p>
      <w:pPr>
        <w:pStyle w:val="4"/>
        <w:numPr>
          <w:ilvl w:val="0"/>
          <w:numId w:val="10"/>
        </w:numPr>
        <w:spacing w:after="0" w:line="240" w:lineRule="auto"/>
        <w:ind w:firstLine="4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L’Etat-major Général des Armées ;</w:t>
      </w:r>
    </w:p>
    <w:p>
      <w:pPr>
        <w:pStyle w:val="4"/>
        <w:numPr>
          <w:ilvl w:val="0"/>
          <w:numId w:val="10"/>
        </w:numPr>
        <w:spacing w:after="0" w:line="240" w:lineRule="auto"/>
        <w:ind w:left="2127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Haut Commandement de la Gendarmerie Nationale, Direction de la Justice Militaire.</w:t>
      </w:r>
    </w:p>
    <w:p>
      <w:pPr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Bookman Old Style"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4D2"/>
    <w:multiLevelType w:val="multilevel"/>
    <w:tmpl w:val="098904D2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Bookman Old Style" w:hAnsi="Bookman Old Style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4954A32"/>
    <w:multiLevelType w:val="multilevel"/>
    <w:tmpl w:val="14954A32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157E287C"/>
    <w:multiLevelType w:val="multilevel"/>
    <w:tmpl w:val="157E287C"/>
    <w:lvl w:ilvl="0" w:tentative="0">
      <w:start w:val="1"/>
      <w:numFmt w:val="bullet"/>
      <w:lvlText w:val="-"/>
      <w:lvlJc w:val="left"/>
      <w:pPr>
        <w:ind w:left="3141" w:hanging="360"/>
      </w:pPr>
      <w:rPr>
        <w:rFonts w:hint="default" w:ascii="Bookman Old Style" w:hAnsi="Bookman Old Style" w:eastAsia="Times New Roman" w:cs="Times New Roman"/>
      </w:rPr>
    </w:lvl>
    <w:lvl w:ilvl="1" w:tentative="0">
      <w:start w:val="1"/>
      <w:numFmt w:val="bullet"/>
      <w:lvlText w:val="o"/>
      <w:lvlJc w:val="left"/>
      <w:pPr>
        <w:ind w:left="386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58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30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02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74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46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18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901" w:hanging="360"/>
      </w:pPr>
      <w:rPr>
        <w:rFonts w:hint="default" w:ascii="Wingdings" w:hAnsi="Wingdings"/>
      </w:rPr>
    </w:lvl>
  </w:abstractNum>
  <w:abstractNum w:abstractNumId="3">
    <w:nsid w:val="30002656"/>
    <w:multiLevelType w:val="multilevel"/>
    <w:tmpl w:val="30002656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0C25198"/>
    <w:multiLevelType w:val="multilevel"/>
    <w:tmpl w:val="30C25198"/>
    <w:lvl w:ilvl="0" w:tentative="0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5">
    <w:nsid w:val="345903D6"/>
    <w:multiLevelType w:val="multilevel"/>
    <w:tmpl w:val="345903D6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Bookman Old Style" w:hAnsi="Bookman Old Style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3FB12EE1"/>
    <w:multiLevelType w:val="multilevel"/>
    <w:tmpl w:val="3FB12EE1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Bookman Old Style" w:hAnsi="Bookman Old Style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47793491"/>
    <w:multiLevelType w:val="multilevel"/>
    <w:tmpl w:val="47793491"/>
    <w:lvl w:ilvl="0" w:tentative="0">
      <w:start w:val="1"/>
      <w:numFmt w:val="bullet"/>
      <w:lvlText w:val="-"/>
      <w:lvlJc w:val="left"/>
      <w:pPr>
        <w:ind w:left="2160" w:hanging="360"/>
      </w:pPr>
      <w:rPr>
        <w:rFonts w:hint="default" w:ascii="Bookman Old Style" w:hAnsi="Bookman Old Style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>
    <w:nsid w:val="5E135896"/>
    <w:multiLevelType w:val="multilevel"/>
    <w:tmpl w:val="5E135896"/>
    <w:lvl w:ilvl="0" w:tentative="0">
      <w:start w:val="1"/>
      <w:numFmt w:val="bullet"/>
      <w:lvlText w:val=""/>
      <w:lvlJc w:val="left"/>
      <w:pPr>
        <w:ind w:left="2421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14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86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8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0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2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74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46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81" w:hanging="360"/>
      </w:pPr>
      <w:rPr>
        <w:rFonts w:hint="default" w:ascii="Wingdings" w:hAnsi="Wingdings"/>
      </w:rPr>
    </w:lvl>
  </w:abstractNum>
  <w:abstractNum w:abstractNumId="9">
    <w:nsid w:val="6B2D70C4"/>
    <w:multiLevelType w:val="multilevel"/>
    <w:tmpl w:val="6B2D70C4"/>
    <w:lvl w:ilvl="0" w:tentative="0">
      <w:start w:val="1"/>
      <w:numFmt w:val="bullet"/>
      <w:lvlText w:val="-"/>
      <w:lvlJc w:val="left"/>
      <w:pPr>
        <w:ind w:left="2847" w:hanging="360"/>
      </w:pPr>
      <w:rPr>
        <w:rFonts w:hint="default" w:ascii="Bookman Old Style" w:hAnsi="Bookman Old Style" w:eastAsia="Times New Roman" w:cs="Times New Roman"/>
      </w:rPr>
    </w:lvl>
    <w:lvl w:ilvl="1" w:tentative="0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470</Words>
  <Characters>2587</Characters>
  <Lines>21</Lines>
  <Paragraphs>6</Paragraphs>
  <TotalTime>0</TotalTime>
  <ScaleCrop>false</ScaleCrop>
  <LinksUpToDate>false</LinksUpToDate>
  <CharactersWithSpaces>3051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2021-02-09T15:19:00Z</dcterms:created>
  <dc:creator>HP</dc:creator>
  <cp:lastModifiedBy>iPhone de Tamba Nicolas</cp:lastModifiedBy>
  <dcterms:modified xsi:type="dcterms:W3CDTF">2022-04-30T22:13:44Z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3245CAF32D9E4D744FB46D62DE7906F0</vt:lpwstr>
  </property>
  <property fmtid="{D5CDD505-2E9C-101B-9397-08002B2CF9AE}" pid="3" name="KSOProductBuildVer">
    <vt:lpwstr>2052-11.20.2</vt:lpwstr>
  </property>
</Properties>
</file>