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34FC" w14:textId="51CDF1EB" w:rsidR="006A1703" w:rsidRPr="008523A5" w:rsidRDefault="008A0E3B">
      <w:pPr>
        <w:rPr>
          <w:b/>
          <w:bCs/>
          <w:sz w:val="32"/>
          <w:szCs w:val="32"/>
        </w:rPr>
      </w:pPr>
      <w:proofErr w:type="spellStart"/>
      <w:r w:rsidRPr="008523A5">
        <w:rPr>
          <w:b/>
          <w:bCs/>
          <w:sz w:val="32"/>
          <w:szCs w:val="32"/>
        </w:rPr>
        <w:t>FPU.h</w:t>
      </w:r>
      <w:proofErr w:type="spellEnd"/>
    </w:p>
    <w:p w14:paraId="330C4B27" w14:textId="1FE00515" w:rsidR="008A0E3B" w:rsidRDefault="008A0E3B" w:rsidP="008A0E3B">
      <w:pPr>
        <w:jc w:val="both"/>
      </w:pPr>
      <w:r>
        <w:t xml:space="preserve">En este archivo “.h” </w:t>
      </w:r>
      <w:r w:rsidRPr="008A0E3B">
        <w:t>define y configura la Unidad de Punto Flotante (FPU) y la Estructura de Control del Sistema (SCB) en un microcontrolador</w:t>
      </w:r>
      <w:r>
        <w:t>.</w:t>
      </w:r>
    </w:p>
    <w:p w14:paraId="743DEA32" w14:textId="59EDE6DC" w:rsidR="008A0E3B" w:rsidRDefault="008A0E3B" w:rsidP="008A0E3B">
      <w:pPr>
        <w:jc w:val="both"/>
      </w:pPr>
      <w:r>
        <w:t xml:space="preserve">¿Qué es el </w:t>
      </w:r>
      <w:proofErr w:type="gramStart"/>
      <w:r>
        <w:t>SCB ?</w:t>
      </w:r>
      <w:proofErr w:type="gramEnd"/>
    </w:p>
    <w:p w14:paraId="7DD891F9" w14:textId="6560926F" w:rsidR="008A0E3B" w:rsidRDefault="008A0E3B" w:rsidP="008A0E3B">
      <w:pPr>
        <w:jc w:val="both"/>
      </w:pPr>
      <w:r w:rsidRPr="008A0E3B">
        <w:t xml:space="preserve">El </w:t>
      </w:r>
      <w:proofErr w:type="spellStart"/>
      <w:r w:rsidRPr="008A0E3B">
        <w:rPr>
          <w:b/>
          <w:bCs/>
        </w:rPr>
        <w:t>System</w:t>
      </w:r>
      <w:proofErr w:type="spellEnd"/>
      <w:r w:rsidRPr="008A0E3B">
        <w:rPr>
          <w:b/>
          <w:bCs/>
        </w:rPr>
        <w:t xml:space="preserve"> Control</w:t>
      </w:r>
      <w:r w:rsidRPr="008A0E3B">
        <w:t xml:space="preserve"> </w:t>
      </w:r>
      <w:r w:rsidRPr="008A0E3B">
        <w:rPr>
          <w:b/>
          <w:bCs/>
        </w:rPr>
        <w:t>Block</w:t>
      </w:r>
      <w:r w:rsidRPr="008A0E3B">
        <w:t xml:space="preserve"> (SCB) es un componente crucial en los microcontroladores basados en la arquitectura ARM </w:t>
      </w:r>
      <w:proofErr w:type="spellStart"/>
      <w:r w:rsidRPr="008A0E3B">
        <w:t>Cortex</w:t>
      </w:r>
      <w:proofErr w:type="spellEnd"/>
      <w:r w:rsidRPr="008A0E3B">
        <w:t>-M. El SCB proporciona registros para controlar y monitorear varios aspectos del sistema, incluyendo la configuración del sistema, el manejo de interrupciones y la gestión de fallos.</w:t>
      </w:r>
    </w:p>
    <w:p w14:paraId="16D102AA" w14:textId="4B325DAF" w:rsidR="002C43A4" w:rsidRDefault="002C43A4" w:rsidP="008A0E3B">
      <w:pPr>
        <w:jc w:val="both"/>
      </w:pPr>
      <w:r>
        <w:t>¿Qué es la FPU?</w:t>
      </w:r>
    </w:p>
    <w:p w14:paraId="5FC5EC68" w14:textId="6F7DC128" w:rsidR="002C43A4" w:rsidRDefault="002C43A4" w:rsidP="008A0E3B">
      <w:pPr>
        <w:jc w:val="both"/>
      </w:pPr>
      <w:r w:rsidRPr="002C43A4">
        <w:t>La </w:t>
      </w:r>
      <w:r w:rsidRPr="002C43A4">
        <w:rPr>
          <w:b/>
          <w:bCs/>
        </w:rPr>
        <w:t>Unidad de Punto Flotante (FPU)</w:t>
      </w:r>
      <w:r w:rsidRPr="002C43A4">
        <w:t> es un componente del procesador que se encarga de realizar operaciones aritméticas en números de punto flotante (decimales). Esto incluye operaciones como suma, resta, multiplicación, división y cálculos más complejos como raíces cuadradas y funciones trigonométricas.</w:t>
      </w:r>
    </w:p>
    <w:p w14:paraId="62C76F7F" w14:textId="4115AF6D" w:rsidR="002C43A4" w:rsidRDefault="002C43A4" w:rsidP="008A0E3B">
      <w:pPr>
        <w:jc w:val="both"/>
      </w:pPr>
      <w:r>
        <w:t>En el código se define la estructura para poder interactuar con todos los campos tanto de SCR como de FPU</w:t>
      </w:r>
      <w:r w:rsidR="00E00AAD">
        <w:t>, como se muestra a continuación:</w:t>
      </w:r>
    </w:p>
    <w:p w14:paraId="77E5291B" w14:textId="2647890B" w:rsidR="00E00AAD" w:rsidRDefault="00E00AAD" w:rsidP="008A0E3B">
      <w:pPr>
        <w:jc w:val="both"/>
      </w:pPr>
      <w:r>
        <w:t>Definición de registros para la configuración del SCB a partir de estructuras:</w:t>
      </w:r>
    </w:p>
    <w:p w14:paraId="12CAD3E6" w14:textId="3A299984" w:rsidR="00E00AAD" w:rsidRDefault="00E00AAD" w:rsidP="008A0E3B">
      <w:pPr>
        <w:jc w:val="both"/>
      </w:pPr>
      <w:r w:rsidRPr="00E00AAD">
        <w:rPr>
          <w:noProof/>
        </w:rPr>
        <w:lastRenderedPageBreak/>
        <w:drawing>
          <wp:inline distT="0" distB="0" distL="0" distR="0" wp14:anchorId="4BB3F20E" wp14:editId="5B293A99">
            <wp:extent cx="2743200" cy="3961397"/>
            <wp:effectExtent l="0" t="0" r="0" b="1270"/>
            <wp:docPr id="22522728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27289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294" cy="39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7F3" w14:textId="499E55BA" w:rsidR="002C43A4" w:rsidRDefault="00E00AAD" w:rsidP="008A0E3B">
      <w:pPr>
        <w:jc w:val="both"/>
      </w:pPr>
      <w:r>
        <w:t>Esto es lo que hace cada registro:</w:t>
      </w:r>
    </w:p>
    <w:p w14:paraId="2E402359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 xml:space="preserve">CPUID (CPUID Base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información sobre el procesador, como el implementador, la variante, la arquitectura, el número de parte y la revisión.</w:t>
      </w:r>
    </w:p>
    <w:p w14:paraId="6D98CF0B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ICSR (</w:t>
      </w:r>
      <w:proofErr w:type="spellStart"/>
      <w:r w:rsidRPr="00E00AAD">
        <w:rPr>
          <w:b/>
          <w:bCs/>
        </w:rPr>
        <w:t>Interrupt</w:t>
      </w:r>
      <w:proofErr w:type="spellEnd"/>
      <w:r w:rsidRPr="00E00AAD">
        <w:rPr>
          <w:b/>
          <w:bCs/>
        </w:rPr>
        <w:t xml:space="preserve"> Control and </w:t>
      </w:r>
      <w:proofErr w:type="spellStart"/>
      <w:r w:rsidRPr="00E00AAD">
        <w:rPr>
          <w:b/>
          <w:bCs/>
        </w:rPr>
        <w:t>State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Controla y monitorea el estado de las interrupciones.</w:t>
      </w:r>
    </w:p>
    <w:p w14:paraId="1A4BBE4D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 xml:space="preserve">VTOR (Vector Table Offset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Define la ubicación de la tabla de vectores de interrupción.</w:t>
      </w:r>
    </w:p>
    <w:p w14:paraId="66D059A0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AIRCR (</w:t>
      </w:r>
      <w:proofErr w:type="spellStart"/>
      <w:r w:rsidRPr="00E00AAD">
        <w:rPr>
          <w:b/>
          <w:bCs/>
        </w:rPr>
        <w:t>Application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Interrupt</w:t>
      </w:r>
      <w:proofErr w:type="spellEnd"/>
      <w:r w:rsidRPr="00E00AAD">
        <w:rPr>
          <w:b/>
          <w:bCs/>
        </w:rPr>
        <w:t xml:space="preserve"> and </w:t>
      </w:r>
      <w:proofErr w:type="spellStart"/>
      <w:r w:rsidRPr="00E00AAD">
        <w:rPr>
          <w:b/>
          <w:bCs/>
        </w:rPr>
        <w:t>Reset</w:t>
      </w:r>
      <w:proofErr w:type="spellEnd"/>
      <w:r w:rsidRPr="00E00AAD">
        <w:rPr>
          <w:b/>
          <w:bCs/>
        </w:rPr>
        <w:t xml:space="preserve"> Control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Controla las interrupciones y los reinicios del sistema.</w:t>
      </w:r>
    </w:p>
    <w:p w14:paraId="620B3E2B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SCR (</w:t>
      </w:r>
      <w:proofErr w:type="spellStart"/>
      <w:r w:rsidRPr="00E00AAD">
        <w:rPr>
          <w:b/>
          <w:bCs/>
        </w:rPr>
        <w:t>System</w:t>
      </w:r>
      <w:proofErr w:type="spellEnd"/>
      <w:r w:rsidRPr="00E00AAD">
        <w:rPr>
          <w:b/>
          <w:bCs/>
        </w:rPr>
        <w:t xml:space="preserve"> Control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Configura el comportamiento del sistema, como el modo de suspensión.</w:t>
      </w:r>
    </w:p>
    <w:p w14:paraId="645CD8CD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CCR (</w:t>
      </w:r>
      <w:proofErr w:type="spellStart"/>
      <w:r w:rsidRPr="00E00AAD">
        <w:rPr>
          <w:b/>
          <w:bCs/>
        </w:rPr>
        <w:t>Configuration</w:t>
      </w:r>
      <w:proofErr w:type="spellEnd"/>
      <w:r w:rsidRPr="00E00AAD">
        <w:rPr>
          <w:b/>
          <w:bCs/>
        </w:rPr>
        <w:t xml:space="preserve"> Control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Configura varias opciones del sistema, como la alineación de datos y la gestión de excepciones.</w:t>
      </w:r>
    </w:p>
    <w:p w14:paraId="58F620DD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SHP (</w:t>
      </w:r>
      <w:proofErr w:type="spellStart"/>
      <w:r w:rsidRPr="00E00AAD">
        <w:rPr>
          <w:b/>
          <w:bCs/>
        </w:rPr>
        <w:t>System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Handlers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Priority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Registers</w:t>
      </w:r>
      <w:proofErr w:type="spellEnd"/>
      <w:r w:rsidRPr="00E00AAD">
        <w:rPr>
          <w:b/>
          <w:bCs/>
        </w:rPr>
        <w:t>)</w:t>
      </w:r>
      <w:r w:rsidRPr="00E00AAD">
        <w:t>: Define las prioridades de los manejadores del sistema.</w:t>
      </w:r>
    </w:p>
    <w:p w14:paraId="7557A9CE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lastRenderedPageBreak/>
        <w:t>SHCSR (</w:t>
      </w:r>
      <w:proofErr w:type="spellStart"/>
      <w:r w:rsidRPr="00E00AAD">
        <w:rPr>
          <w:b/>
          <w:bCs/>
        </w:rPr>
        <w:t>System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Handler</w:t>
      </w:r>
      <w:proofErr w:type="spellEnd"/>
      <w:r w:rsidRPr="00E00AAD">
        <w:rPr>
          <w:b/>
          <w:bCs/>
        </w:rPr>
        <w:t xml:space="preserve"> Control and </w:t>
      </w:r>
      <w:proofErr w:type="spellStart"/>
      <w:r w:rsidRPr="00E00AAD">
        <w:rPr>
          <w:b/>
          <w:bCs/>
        </w:rPr>
        <w:t>State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Controla y monitorea el estado de los manejadores del sistema.</w:t>
      </w:r>
    </w:p>
    <w:p w14:paraId="3F1A36C7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 xml:space="preserve">CFSR (Configurable </w:t>
      </w:r>
      <w:proofErr w:type="spellStart"/>
      <w:r w:rsidRPr="00E00AAD">
        <w:rPr>
          <w:b/>
          <w:bCs/>
        </w:rPr>
        <w:t>Fault</w:t>
      </w:r>
      <w:proofErr w:type="spellEnd"/>
      <w:r w:rsidRPr="00E00AAD">
        <w:rPr>
          <w:b/>
          <w:bCs/>
        </w:rPr>
        <w:t xml:space="preserve"> </w:t>
      </w:r>
      <w:proofErr w:type="gramStart"/>
      <w:r w:rsidRPr="00E00AAD">
        <w:rPr>
          <w:b/>
          <w:bCs/>
        </w:rPr>
        <w:t>Status</w:t>
      </w:r>
      <w:proofErr w:type="gram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información sobre los fallos configurables.</w:t>
      </w:r>
    </w:p>
    <w:p w14:paraId="6BB43C58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HFSR (</w:t>
      </w:r>
      <w:proofErr w:type="spellStart"/>
      <w:r w:rsidRPr="00E00AAD">
        <w:rPr>
          <w:b/>
          <w:bCs/>
        </w:rPr>
        <w:t>HardFault</w:t>
      </w:r>
      <w:proofErr w:type="spellEnd"/>
      <w:r w:rsidRPr="00E00AAD">
        <w:rPr>
          <w:b/>
          <w:bCs/>
        </w:rPr>
        <w:t xml:space="preserve"> </w:t>
      </w:r>
      <w:proofErr w:type="gramStart"/>
      <w:r w:rsidRPr="00E00AAD">
        <w:rPr>
          <w:b/>
          <w:bCs/>
        </w:rPr>
        <w:t>Status</w:t>
      </w:r>
      <w:proofErr w:type="gram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información sobre los fallos graves.</w:t>
      </w:r>
    </w:p>
    <w:p w14:paraId="7C7BE3D1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DFSR (</w:t>
      </w:r>
      <w:proofErr w:type="spellStart"/>
      <w:r w:rsidRPr="00E00AAD">
        <w:rPr>
          <w:b/>
          <w:bCs/>
        </w:rPr>
        <w:t>Debug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Fault</w:t>
      </w:r>
      <w:proofErr w:type="spellEnd"/>
      <w:r w:rsidRPr="00E00AAD">
        <w:rPr>
          <w:b/>
          <w:bCs/>
        </w:rPr>
        <w:t xml:space="preserve"> </w:t>
      </w:r>
      <w:proofErr w:type="gramStart"/>
      <w:r w:rsidRPr="00E00AAD">
        <w:rPr>
          <w:b/>
          <w:bCs/>
        </w:rPr>
        <w:t>Status</w:t>
      </w:r>
      <w:proofErr w:type="gram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información sobre los fallos de depuración.</w:t>
      </w:r>
    </w:p>
    <w:p w14:paraId="37DFBFD6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MMFAR (</w:t>
      </w:r>
      <w:proofErr w:type="spellStart"/>
      <w:r w:rsidRPr="00E00AAD">
        <w:rPr>
          <w:b/>
          <w:bCs/>
        </w:rPr>
        <w:t>MemManage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Fault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Address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la dirección del fallo de gestión de memoria.</w:t>
      </w:r>
    </w:p>
    <w:p w14:paraId="1DCF58C6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BFAR (</w:t>
      </w:r>
      <w:proofErr w:type="spellStart"/>
      <w:r w:rsidRPr="00E00AAD">
        <w:rPr>
          <w:b/>
          <w:bCs/>
        </w:rPr>
        <w:t>BusFault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Address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la dirección del fallo de bus.</w:t>
      </w:r>
    </w:p>
    <w:p w14:paraId="368D6A37" w14:textId="77777777" w:rsidR="00E00AAD" w:rsidRPr="00E00AAD" w:rsidRDefault="00E00AAD" w:rsidP="00E00AAD">
      <w:pPr>
        <w:numPr>
          <w:ilvl w:val="0"/>
          <w:numId w:val="1"/>
        </w:numPr>
        <w:jc w:val="both"/>
      </w:pPr>
      <w:r w:rsidRPr="00E00AAD">
        <w:rPr>
          <w:b/>
          <w:bCs/>
        </w:rPr>
        <w:t>AFSR (</w:t>
      </w:r>
      <w:proofErr w:type="spellStart"/>
      <w:r w:rsidRPr="00E00AAD">
        <w:rPr>
          <w:b/>
          <w:bCs/>
        </w:rPr>
        <w:t>Auxiliary</w:t>
      </w:r>
      <w:proofErr w:type="spell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Fault</w:t>
      </w:r>
      <w:proofErr w:type="spellEnd"/>
      <w:r w:rsidRPr="00E00AAD">
        <w:rPr>
          <w:b/>
          <w:bCs/>
        </w:rPr>
        <w:t xml:space="preserve"> </w:t>
      </w:r>
      <w:proofErr w:type="gramStart"/>
      <w:r w:rsidRPr="00E00AAD">
        <w:rPr>
          <w:b/>
          <w:bCs/>
        </w:rPr>
        <w:t>Status</w:t>
      </w:r>
      <w:proofErr w:type="gramEnd"/>
      <w:r w:rsidRPr="00E00AAD">
        <w:rPr>
          <w:b/>
          <w:bCs/>
        </w:rPr>
        <w:t xml:space="preserve"> </w:t>
      </w:r>
      <w:proofErr w:type="spellStart"/>
      <w:r w:rsidRPr="00E00AAD">
        <w:rPr>
          <w:b/>
          <w:bCs/>
        </w:rPr>
        <w:t>Register</w:t>
      </w:r>
      <w:proofErr w:type="spellEnd"/>
      <w:r w:rsidRPr="00E00AAD">
        <w:rPr>
          <w:b/>
          <w:bCs/>
        </w:rPr>
        <w:t>)</w:t>
      </w:r>
      <w:r w:rsidRPr="00E00AAD">
        <w:t>: Proporciona información adicional sobre los fallos.</w:t>
      </w:r>
    </w:p>
    <w:p w14:paraId="14994854" w14:textId="620823D6" w:rsidR="00E00AAD" w:rsidRDefault="00E00AAD" w:rsidP="008A0E3B">
      <w:pPr>
        <w:numPr>
          <w:ilvl w:val="0"/>
          <w:numId w:val="1"/>
        </w:numPr>
        <w:jc w:val="both"/>
      </w:pPr>
      <w:r w:rsidRPr="00E00AAD">
        <w:rPr>
          <w:b/>
          <w:bCs/>
        </w:rPr>
        <w:t>PFR, DFR, ADR, MMFR, ISAR</w:t>
      </w:r>
      <w:r w:rsidRPr="00E00AAD">
        <w:t>: Registros que proporcionan información sobre las características del procesador, depuración, características auxiliares, modelo de memoria y atributos del conjunto de instrucciones.</w:t>
      </w:r>
    </w:p>
    <w:p w14:paraId="1BB0DE59" w14:textId="0147CE96" w:rsidR="008523A5" w:rsidRDefault="008523A5" w:rsidP="008A0E3B">
      <w:pPr>
        <w:numPr>
          <w:ilvl w:val="0"/>
          <w:numId w:val="1"/>
        </w:numPr>
        <w:jc w:val="both"/>
      </w:pPr>
      <w:r w:rsidRPr="00E00AAD">
        <w:rPr>
          <w:b/>
          <w:bCs/>
        </w:rPr>
        <w:t xml:space="preserve">, </w:t>
      </w:r>
      <w:r>
        <w:rPr>
          <w:b/>
          <w:bCs/>
        </w:rPr>
        <w:t xml:space="preserve">CPACR: </w:t>
      </w:r>
      <w:r w:rsidRPr="008523A5">
        <w:t>(</w:t>
      </w:r>
      <w:proofErr w:type="spellStart"/>
      <w:r w:rsidRPr="008523A5">
        <w:t>Coprocessor</w:t>
      </w:r>
      <w:proofErr w:type="spellEnd"/>
      <w:r w:rsidRPr="008523A5">
        <w:t xml:space="preserve"> Access Control </w:t>
      </w:r>
      <w:proofErr w:type="spellStart"/>
      <w:r w:rsidRPr="008523A5">
        <w:t>Register</w:t>
      </w:r>
      <w:proofErr w:type="spellEnd"/>
      <w:r w:rsidRPr="008523A5">
        <w:t>) es un registro de 32 bits que controla el acceso a los coprocesadores en un procesador ARM, excepto los coprocesadores CP14 y CP15. Este registro es accesible solo en modos privilegiados y tiene una serie de campos que permiten configurar los derechos de acceso a los coprocesadores.</w:t>
      </w:r>
    </w:p>
    <w:p w14:paraId="37276D80" w14:textId="70A98BD2" w:rsidR="00C22338" w:rsidRPr="0030141A" w:rsidRDefault="00C22338" w:rsidP="00C22338">
      <w:pPr>
        <w:jc w:val="both"/>
      </w:pPr>
    </w:p>
    <w:p w14:paraId="7A268B7D" w14:textId="77777777" w:rsidR="00B06C3A" w:rsidRPr="0030141A" w:rsidRDefault="00B06C3A" w:rsidP="00C22338">
      <w:pPr>
        <w:jc w:val="both"/>
      </w:pPr>
    </w:p>
    <w:p w14:paraId="74BEC83D" w14:textId="072BD041" w:rsidR="00C22338" w:rsidRDefault="00C22338" w:rsidP="00C22338">
      <w:pPr>
        <w:jc w:val="both"/>
      </w:pPr>
      <w:proofErr w:type="spellStart"/>
      <w:r>
        <w:t>Despues</w:t>
      </w:r>
      <w:proofErr w:type="spellEnd"/>
      <w:r>
        <w:t xml:space="preserve"> de tener la definición de cada registro de control para la SBD vienen </w:t>
      </w:r>
      <w:r w:rsidR="00E525A7">
        <w:t>una parte de código donde se definen varias macros como se muestra en la siguiente imagen</w:t>
      </w:r>
      <w:r w:rsidR="00B06C3A">
        <w:t>:</w:t>
      </w:r>
    </w:p>
    <w:p w14:paraId="68647F12" w14:textId="5DA8DFDE" w:rsidR="00B06C3A" w:rsidRDefault="00B06C3A" w:rsidP="00C22338">
      <w:pPr>
        <w:jc w:val="both"/>
      </w:pPr>
      <w:r w:rsidRPr="00B06C3A">
        <w:rPr>
          <w:noProof/>
          <w:lang w:val="en-US"/>
        </w:rPr>
        <w:lastRenderedPageBreak/>
        <w:drawing>
          <wp:inline distT="0" distB="0" distL="0" distR="0" wp14:anchorId="32A12C94" wp14:editId="1ADC0EAD">
            <wp:extent cx="5612130" cy="2088381"/>
            <wp:effectExtent l="0" t="0" r="7620" b="7620"/>
            <wp:docPr id="1419422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260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1935" w14:textId="50166CF3" w:rsidR="00B06C3A" w:rsidRDefault="00B06C3A" w:rsidP="00C22338">
      <w:pPr>
        <w:jc w:val="both"/>
      </w:pPr>
      <w:r>
        <w:t xml:space="preserve">Cada macro se utiliza para indicar la posición para cada configuración, por ejemplo: las primeras dos macros definidas que son la posición y mascara para </w:t>
      </w:r>
      <w:r w:rsidR="002B7A24">
        <w:t>el campo “</w:t>
      </w:r>
      <w:proofErr w:type="spellStart"/>
      <w:r w:rsidR="002B7A24">
        <w:t>Implementer</w:t>
      </w:r>
      <w:proofErr w:type="spellEnd"/>
      <w:r w:rsidR="002B7A24">
        <w:t>” para el registro CPUID del SCB.  Entonces:</w:t>
      </w:r>
    </w:p>
    <w:p w14:paraId="633DB3D1" w14:textId="77777777" w:rsidR="002B7A24" w:rsidRPr="002B7A24" w:rsidRDefault="002B7A24" w:rsidP="002B7A24">
      <w:pPr>
        <w:numPr>
          <w:ilvl w:val="0"/>
          <w:numId w:val="3"/>
        </w:numPr>
        <w:jc w:val="both"/>
      </w:pPr>
      <w:r w:rsidRPr="002B7A24">
        <w:t xml:space="preserve">#define </w:t>
      </w:r>
      <w:proofErr w:type="spellStart"/>
      <w:r w:rsidRPr="002B7A24">
        <w:t>SCB_CPUID_IMPLEMENTER_Pos</w:t>
      </w:r>
      <w:proofErr w:type="spellEnd"/>
      <w:r w:rsidRPr="002B7A24">
        <w:t xml:space="preserve"> 24U:</w:t>
      </w:r>
    </w:p>
    <w:p w14:paraId="512842CC" w14:textId="0AB83A30" w:rsidR="002B7A24" w:rsidRPr="002B7A24" w:rsidRDefault="002B7A24" w:rsidP="002B7A24">
      <w:pPr>
        <w:numPr>
          <w:ilvl w:val="1"/>
          <w:numId w:val="3"/>
        </w:numPr>
        <w:jc w:val="both"/>
      </w:pPr>
      <w:r w:rsidRPr="002B7A24">
        <w:t>24U: El número 24 seguido de U indica que es un número entero sin signo (</w:t>
      </w:r>
      <w:proofErr w:type="spellStart"/>
      <w:r w:rsidRPr="002B7A24">
        <w:t>unsigned</w:t>
      </w:r>
      <w:proofErr w:type="spellEnd"/>
      <w:r w:rsidRPr="002B7A24">
        <w:t xml:space="preserve">). </w:t>
      </w:r>
    </w:p>
    <w:p w14:paraId="10977F34" w14:textId="77777777" w:rsidR="002B7A24" w:rsidRPr="002B7A24" w:rsidRDefault="002B7A24" w:rsidP="002B7A24">
      <w:pPr>
        <w:numPr>
          <w:ilvl w:val="1"/>
          <w:numId w:val="3"/>
        </w:numPr>
        <w:jc w:val="both"/>
      </w:pPr>
      <w:proofErr w:type="spellStart"/>
      <w:r w:rsidRPr="002B7A24">
        <w:t>SCB_CPUID_IMPLEMENTER_Pos</w:t>
      </w:r>
      <w:proofErr w:type="spellEnd"/>
      <w:r w:rsidRPr="002B7A24">
        <w:t>: Este define la posición del campo “IMPLEMENTER” dentro del registro CPUID. En este caso, el campo comienza en el bit 24 del registro.</w:t>
      </w:r>
    </w:p>
    <w:p w14:paraId="1EF7A15E" w14:textId="4C181A26" w:rsidR="002B7A24" w:rsidRPr="002B7A24" w:rsidRDefault="002B7A24" w:rsidP="002B7A2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B7A24">
        <w:rPr>
          <w:sz w:val="20"/>
          <w:szCs w:val="20"/>
          <w:lang w:val="en-US"/>
        </w:rPr>
        <w:t xml:space="preserve">#define </w:t>
      </w:r>
      <w:proofErr w:type="spellStart"/>
      <w:r w:rsidRPr="002B7A24">
        <w:rPr>
          <w:sz w:val="20"/>
          <w:szCs w:val="20"/>
          <w:lang w:val="en-US"/>
        </w:rPr>
        <w:t>SCB_CPUID_IMPLEMENTER_Msk</w:t>
      </w:r>
      <w:proofErr w:type="spellEnd"/>
      <w:r w:rsidRPr="002B7A24">
        <w:rPr>
          <w:sz w:val="20"/>
          <w:szCs w:val="20"/>
          <w:lang w:val="en-US"/>
        </w:rPr>
        <w:t xml:space="preserve"> (0xFFUL &lt;&lt;</w:t>
      </w:r>
      <w:proofErr w:type="spellStart"/>
      <w:r w:rsidRPr="002B7A24">
        <w:rPr>
          <w:sz w:val="20"/>
          <w:szCs w:val="20"/>
          <w:lang w:val="en-US"/>
        </w:rPr>
        <w:t>SCB_CPUID_IMPLEMENTER_Pos</w:t>
      </w:r>
      <w:proofErr w:type="spellEnd"/>
      <w:r w:rsidRPr="002B7A24">
        <w:rPr>
          <w:sz w:val="20"/>
          <w:szCs w:val="20"/>
          <w:lang w:val="en-US"/>
        </w:rPr>
        <w:t>):</w:t>
      </w:r>
    </w:p>
    <w:p w14:paraId="1CF664D3" w14:textId="77777777" w:rsidR="002B7A24" w:rsidRPr="002B7A24" w:rsidRDefault="002B7A24" w:rsidP="002B7A24">
      <w:pPr>
        <w:numPr>
          <w:ilvl w:val="1"/>
          <w:numId w:val="3"/>
        </w:numPr>
        <w:jc w:val="both"/>
      </w:pPr>
      <w:r w:rsidRPr="002B7A24">
        <w:t>0xFFUL: Este es un número hexadecimal que representa 255 en decimal. El sufijo UL indica que es un número entero sin signo de tipo largo (</w:t>
      </w:r>
      <w:proofErr w:type="spellStart"/>
      <w:r w:rsidRPr="002B7A24">
        <w:t>unsigned</w:t>
      </w:r>
      <w:proofErr w:type="spellEnd"/>
      <w:r w:rsidRPr="002B7A24">
        <w:t xml:space="preserve"> </w:t>
      </w:r>
      <w:proofErr w:type="spellStart"/>
      <w:r w:rsidRPr="002B7A24">
        <w:t>long</w:t>
      </w:r>
      <w:proofErr w:type="spellEnd"/>
      <w:r w:rsidRPr="002B7A24">
        <w:t>).</w:t>
      </w:r>
    </w:p>
    <w:p w14:paraId="3386A5AE" w14:textId="77777777" w:rsidR="002B7A24" w:rsidRPr="002B7A24" w:rsidRDefault="002B7A24" w:rsidP="002B7A24">
      <w:pPr>
        <w:numPr>
          <w:ilvl w:val="1"/>
          <w:numId w:val="3"/>
        </w:numPr>
        <w:jc w:val="both"/>
      </w:pPr>
      <w:r w:rsidRPr="002B7A24">
        <w:t xml:space="preserve">&lt;&lt; </w:t>
      </w:r>
      <w:proofErr w:type="spellStart"/>
      <w:r w:rsidRPr="002B7A24">
        <w:t>SCB_CPUID_IMPLEMENTER_Pos</w:t>
      </w:r>
      <w:proofErr w:type="spellEnd"/>
      <w:r w:rsidRPr="002B7A24">
        <w:t>: Este es el operador de desplazamiento a la izquierda (</w:t>
      </w:r>
      <w:proofErr w:type="spellStart"/>
      <w:r w:rsidRPr="002B7A24">
        <w:t>left</w:t>
      </w:r>
      <w:proofErr w:type="spellEnd"/>
      <w:r w:rsidRPr="002B7A24">
        <w:t xml:space="preserve"> shift). Desplaza el valor 0xFFUL 24 posiciones a la izquierda. Esto significa que el valor 0xFF (que es 11111111 en binario) se moverá 24 bits a la izquierda, llenando los bits menos significativos con ceros.</w:t>
      </w:r>
    </w:p>
    <w:p w14:paraId="4F8ED26F" w14:textId="77777777" w:rsidR="002B7A24" w:rsidRDefault="002B7A24" w:rsidP="002B7A24">
      <w:pPr>
        <w:jc w:val="both"/>
      </w:pPr>
      <w:r w:rsidRPr="002B7A24">
        <w:t xml:space="preserve">Entonces, (0xFFUL &lt;&lt; </w:t>
      </w:r>
      <w:proofErr w:type="spellStart"/>
      <w:r w:rsidRPr="002B7A24">
        <w:t>SCB_CPUID_IMPLEMENTER_Pos</w:t>
      </w:r>
      <w:proofErr w:type="spellEnd"/>
      <w:r w:rsidRPr="002B7A24">
        <w:t>) se convierte en 0xFF000000UL. Esto crea una máscara que puede ser usada para aislar o manipular el campo “IMPLEMENTER” en el registro CPUID.</w:t>
      </w:r>
    </w:p>
    <w:p w14:paraId="5214D1A9" w14:textId="311A9B2B" w:rsidR="002B7A24" w:rsidRDefault="002B7A24" w:rsidP="002B7A24">
      <w:pPr>
        <w:jc w:val="both"/>
      </w:pPr>
      <w:r>
        <w:t>A continuación, mostrare una lista de cada campo de configuración de registro para el SBD y su funcionamiento:</w:t>
      </w:r>
    </w:p>
    <w:p w14:paraId="6421FC50" w14:textId="77777777" w:rsidR="002B7A24" w:rsidRPr="002B7A24" w:rsidRDefault="002B7A24" w:rsidP="002B7A24">
      <w:pPr>
        <w:jc w:val="both"/>
      </w:pPr>
    </w:p>
    <w:p w14:paraId="42E5C5D3" w14:textId="77777777" w:rsidR="002B7A24" w:rsidRDefault="002B7A24" w:rsidP="00C22338">
      <w:pPr>
        <w:jc w:val="both"/>
      </w:pPr>
    </w:p>
    <w:p w14:paraId="1530D698" w14:textId="36927CA8" w:rsidR="00E00AAD" w:rsidRDefault="00E00AAD" w:rsidP="00E00AAD">
      <w:pPr>
        <w:jc w:val="both"/>
      </w:pPr>
      <w:r>
        <w:t>Definición de registros para la configuración del FPU a partir de estructuras:</w:t>
      </w:r>
    </w:p>
    <w:p w14:paraId="208B87A6" w14:textId="1F23B2DD" w:rsidR="00E00AAD" w:rsidRDefault="00E00AAD" w:rsidP="00E00AAD">
      <w:pPr>
        <w:jc w:val="both"/>
      </w:pPr>
      <w:r w:rsidRPr="00E00AAD">
        <w:rPr>
          <w:noProof/>
        </w:rPr>
        <w:drawing>
          <wp:inline distT="0" distB="0" distL="0" distR="0" wp14:anchorId="3791995C" wp14:editId="67B5266D">
            <wp:extent cx="3038899" cy="1571844"/>
            <wp:effectExtent l="0" t="0" r="9525" b="9525"/>
            <wp:docPr id="1123142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B4C" w14:textId="77777777" w:rsidR="00E00AAD" w:rsidRDefault="00E00AAD" w:rsidP="00E00AAD">
      <w:pPr>
        <w:jc w:val="both"/>
      </w:pPr>
      <w:r>
        <w:t>Esto es lo que hace cada registro:</w:t>
      </w:r>
    </w:p>
    <w:p w14:paraId="19348415" w14:textId="77777777" w:rsidR="00E00AAD" w:rsidRPr="00E00AAD" w:rsidRDefault="00E00AAD" w:rsidP="00E00AAD">
      <w:pPr>
        <w:numPr>
          <w:ilvl w:val="0"/>
          <w:numId w:val="2"/>
        </w:numPr>
        <w:jc w:val="both"/>
        <w:rPr>
          <w:lang w:val="en-US"/>
        </w:rPr>
      </w:pPr>
      <w:r w:rsidRPr="00E00AAD">
        <w:rPr>
          <w:b/>
          <w:bCs/>
          <w:lang w:val="en-US"/>
        </w:rPr>
        <w:t>FPCCR (Floating-Point Context Control Register)</w:t>
      </w:r>
      <w:r w:rsidRPr="00E00AAD">
        <w:rPr>
          <w:lang w:val="en-US"/>
        </w:rPr>
        <w:t>:</w:t>
      </w:r>
    </w:p>
    <w:p w14:paraId="0EBBE5FC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Función</w:t>
      </w:r>
      <w:r w:rsidRPr="00E00AAD">
        <w:t>: Controla el contexto de la FPU, incluyendo la preservación del estado y la disponibilidad de la FPU.</w:t>
      </w:r>
    </w:p>
    <w:p w14:paraId="5972AB8B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Bits Importantes</w:t>
      </w:r>
      <w:r w:rsidRPr="00E00AAD">
        <w:t>:</w:t>
      </w:r>
    </w:p>
    <w:p w14:paraId="1F2BD9C7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ASPEN (bit 31): Habilita la preservación automática del estado de la FPU.</w:t>
      </w:r>
    </w:p>
    <w:p w14:paraId="704E5871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LSPEN (bit 30): Habilita la preservación perezosa del estado de la FPU.</w:t>
      </w:r>
    </w:p>
    <w:p w14:paraId="08A3ED40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MONRDY (bit 8): Indica si el monitor de depuración está listo.</w:t>
      </w:r>
    </w:p>
    <w:p w14:paraId="13D17004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BFRDY (bit 6): Indica si la FPU está lista para manejar fallos de bus.</w:t>
      </w:r>
    </w:p>
    <w:p w14:paraId="64C31308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MMRDY (bit 5): Indica si la FPU está lista para manejar fallos de gestión de memoria.</w:t>
      </w:r>
    </w:p>
    <w:p w14:paraId="2ABE01FC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HFRDY (bit 4): Indica si la FPU está lista para manejar fallos graves.</w:t>
      </w:r>
    </w:p>
    <w:p w14:paraId="565EDF7C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 xml:space="preserve">THREAD (bit 3): Indica el modo del procesador (hilo o </w:t>
      </w:r>
      <w:proofErr w:type="spellStart"/>
      <w:r w:rsidRPr="00E00AAD">
        <w:t>handler</w:t>
      </w:r>
      <w:proofErr w:type="spellEnd"/>
      <w:r w:rsidRPr="00E00AAD">
        <w:t>).</w:t>
      </w:r>
    </w:p>
    <w:p w14:paraId="10B08811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USER (bit 1): Indica el nivel de privilegio (usuario o privilegiado).</w:t>
      </w:r>
    </w:p>
    <w:p w14:paraId="5F60BCDB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LSPACT (bit 0): Indica si la preservación perezosa del estado está activa.</w:t>
      </w:r>
    </w:p>
    <w:p w14:paraId="1D39FEBE" w14:textId="77777777" w:rsidR="00E00AAD" w:rsidRPr="00E00AAD" w:rsidRDefault="00E00AAD" w:rsidP="00E00AAD">
      <w:pPr>
        <w:numPr>
          <w:ilvl w:val="0"/>
          <w:numId w:val="2"/>
        </w:numPr>
        <w:jc w:val="both"/>
        <w:rPr>
          <w:lang w:val="en-US"/>
        </w:rPr>
      </w:pPr>
      <w:r w:rsidRPr="00E00AAD">
        <w:rPr>
          <w:b/>
          <w:bCs/>
          <w:lang w:val="en-US"/>
        </w:rPr>
        <w:t>FPCAR (Floating-Point Context Address Register)</w:t>
      </w:r>
      <w:r w:rsidRPr="00E00AAD">
        <w:rPr>
          <w:lang w:val="en-US"/>
        </w:rPr>
        <w:t>:</w:t>
      </w:r>
    </w:p>
    <w:p w14:paraId="54EE890D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lastRenderedPageBreak/>
        <w:t>Función</w:t>
      </w:r>
      <w:r w:rsidRPr="00E00AAD">
        <w:t>: Almacena la dirección del contexto de la FPU.</w:t>
      </w:r>
    </w:p>
    <w:p w14:paraId="5E0CA33E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Bits Importantes</w:t>
      </w:r>
      <w:r w:rsidRPr="00E00AAD">
        <w:t>:</w:t>
      </w:r>
    </w:p>
    <w:p w14:paraId="25DF7477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ADDRESS (bits 3-31): Dirección del contexto de la FPU.</w:t>
      </w:r>
    </w:p>
    <w:p w14:paraId="0883C523" w14:textId="77777777" w:rsidR="00E00AAD" w:rsidRPr="00E00AAD" w:rsidRDefault="00E00AAD" w:rsidP="00E00AAD">
      <w:pPr>
        <w:numPr>
          <w:ilvl w:val="0"/>
          <w:numId w:val="2"/>
        </w:numPr>
        <w:jc w:val="both"/>
        <w:rPr>
          <w:lang w:val="en-US"/>
        </w:rPr>
      </w:pPr>
      <w:r w:rsidRPr="00E00AAD">
        <w:rPr>
          <w:b/>
          <w:bCs/>
          <w:lang w:val="en-US"/>
        </w:rPr>
        <w:t>FPDSCR (Floating-Point Default Status Control Register)</w:t>
      </w:r>
      <w:r w:rsidRPr="00E00AAD">
        <w:rPr>
          <w:lang w:val="en-US"/>
        </w:rPr>
        <w:t>:</w:t>
      </w:r>
    </w:p>
    <w:p w14:paraId="422E8344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Función</w:t>
      </w:r>
      <w:r w:rsidRPr="00E00AAD">
        <w:t>: Controla el estado predeterminado de la FPU.</w:t>
      </w:r>
    </w:p>
    <w:p w14:paraId="0D6EA059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Bits Importantes</w:t>
      </w:r>
      <w:r w:rsidRPr="00E00AAD">
        <w:t>:</w:t>
      </w:r>
    </w:p>
    <w:p w14:paraId="680A253C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AHP (bit 26): Controla el redondeo de precisión alternativa.</w:t>
      </w:r>
    </w:p>
    <w:p w14:paraId="684363C2" w14:textId="77777777" w:rsidR="00E00AAD" w:rsidRPr="00E00AAD" w:rsidRDefault="00E00AAD" w:rsidP="00E00AAD">
      <w:pPr>
        <w:numPr>
          <w:ilvl w:val="2"/>
          <w:numId w:val="2"/>
        </w:numPr>
        <w:jc w:val="both"/>
      </w:pPr>
      <w:r w:rsidRPr="00E00AAD">
        <w:t>DN (bit 25): Controla el modo de desnormalización.</w:t>
      </w:r>
    </w:p>
    <w:p w14:paraId="7C56F811" w14:textId="77777777" w:rsidR="00E00AAD" w:rsidRPr="00E00AAD" w:rsidRDefault="00E00AAD" w:rsidP="00E00AAD">
      <w:pPr>
        <w:numPr>
          <w:ilvl w:val="0"/>
          <w:numId w:val="2"/>
        </w:numPr>
        <w:jc w:val="both"/>
        <w:rPr>
          <w:lang w:val="en-US"/>
        </w:rPr>
      </w:pPr>
      <w:r w:rsidRPr="00E00AAD">
        <w:rPr>
          <w:b/>
          <w:bCs/>
          <w:lang w:val="en-US"/>
        </w:rPr>
        <w:t>MVFR0 y MVFR1 (Media and FP Feature Registers)</w:t>
      </w:r>
      <w:r w:rsidRPr="00E00AAD">
        <w:rPr>
          <w:lang w:val="en-US"/>
        </w:rPr>
        <w:t>:</w:t>
      </w:r>
    </w:p>
    <w:p w14:paraId="2F77A847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Función</w:t>
      </w:r>
      <w:r w:rsidRPr="00E00AAD">
        <w:t>: Proporcionan información sobre las características de la FPU y los medios.</w:t>
      </w:r>
    </w:p>
    <w:p w14:paraId="1C7F6843" w14:textId="77777777" w:rsidR="00E00AAD" w:rsidRPr="00E00AAD" w:rsidRDefault="00E00AAD" w:rsidP="00E00AAD">
      <w:pPr>
        <w:numPr>
          <w:ilvl w:val="1"/>
          <w:numId w:val="2"/>
        </w:numPr>
        <w:jc w:val="both"/>
      </w:pPr>
      <w:r w:rsidRPr="00E00AAD">
        <w:rPr>
          <w:b/>
          <w:bCs/>
        </w:rPr>
        <w:t>Bits Importantes</w:t>
      </w:r>
      <w:r w:rsidRPr="00E00AAD">
        <w:t>: Estos registros son de solo lectura y contienen información sobre las capacidades de la FPU, como el soporte para operaciones de punto flotante de simple y doble precisión.</w:t>
      </w:r>
    </w:p>
    <w:p w14:paraId="63DF3A17" w14:textId="5E4E3DF6" w:rsidR="006F6EDD" w:rsidRDefault="006F6EDD" w:rsidP="00E00AAD">
      <w:pPr>
        <w:jc w:val="both"/>
      </w:pPr>
      <w:r>
        <w:t>La FPU de igual manera tiene macros de posición y mascara como el SCB, donde cada macro es para la configuración de la FPU como se muestra en la siguiente imagen:</w:t>
      </w:r>
    </w:p>
    <w:p w14:paraId="2E802608" w14:textId="78564C5C" w:rsidR="006F6EDD" w:rsidRDefault="006F6EDD" w:rsidP="00E00AAD">
      <w:pPr>
        <w:jc w:val="both"/>
      </w:pPr>
      <w:r w:rsidRPr="006F6EDD">
        <w:rPr>
          <w:noProof/>
        </w:rPr>
        <w:drawing>
          <wp:inline distT="0" distB="0" distL="0" distR="0" wp14:anchorId="21BC516F" wp14:editId="71D08687">
            <wp:extent cx="5612130" cy="2197735"/>
            <wp:effectExtent l="0" t="0" r="7620" b="0"/>
            <wp:docPr id="113497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2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A25" w14:textId="6C3875C5" w:rsidR="00CD3FEA" w:rsidRDefault="00CD3FEA" w:rsidP="00E00AAD">
      <w:pPr>
        <w:jc w:val="both"/>
      </w:pPr>
    </w:p>
    <w:p w14:paraId="21E6FE0F" w14:textId="0A270419" w:rsidR="0030141A" w:rsidRDefault="0030141A" w:rsidP="00E00AAD">
      <w:pPr>
        <w:jc w:val="both"/>
      </w:pPr>
      <w:r>
        <w:t xml:space="preserve">Al final del programa </w:t>
      </w:r>
      <w:proofErr w:type="spellStart"/>
      <w:r>
        <w:t>FPU.h</w:t>
      </w:r>
      <w:proofErr w:type="spellEnd"/>
      <w:r>
        <w:t xml:space="preserve"> viene la siguiente </w:t>
      </w:r>
      <w:proofErr w:type="spellStart"/>
      <w:r>
        <w:t>funcion</w:t>
      </w:r>
      <w:proofErr w:type="spellEnd"/>
      <w:r>
        <w:t>:</w:t>
      </w:r>
    </w:p>
    <w:p w14:paraId="26249C07" w14:textId="2E7272E4" w:rsidR="0030141A" w:rsidRDefault="0030141A" w:rsidP="00E00AAD">
      <w:pPr>
        <w:jc w:val="both"/>
      </w:pPr>
      <w:r w:rsidRPr="0030141A">
        <w:lastRenderedPageBreak/>
        <w:drawing>
          <wp:inline distT="0" distB="0" distL="0" distR="0" wp14:anchorId="77AE4DFF" wp14:editId="49D4828B">
            <wp:extent cx="5612130" cy="2063750"/>
            <wp:effectExtent l="0" t="0" r="7620" b="0"/>
            <wp:docPr id="1590362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623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0954" w14:textId="661FAF04" w:rsidR="0030141A" w:rsidRDefault="0030141A" w:rsidP="00E00AAD">
      <w:pPr>
        <w:jc w:val="both"/>
      </w:pPr>
      <w:r>
        <w:t xml:space="preserve">Esta </w:t>
      </w:r>
      <w:proofErr w:type="spellStart"/>
      <w:r>
        <w:t>funcion</w:t>
      </w:r>
      <w:proofErr w:type="spellEnd"/>
      <w:r>
        <w:t xml:space="preserve"> sirve para determinar el tipo de Unidad de Punto Flotante (FPU) presente en el sistema:</w:t>
      </w:r>
    </w:p>
    <w:p w14:paraId="17E5BA72" w14:textId="2B4BB816" w:rsidR="0030141A" w:rsidRDefault="0030141A" w:rsidP="00E00AAD">
      <w:pPr>
        <w:jc w:val="both"/>
      </w:pPr>
      <w:r>
        <w:t xml:space="preserve">Se declara la variable </w:t>
      </w:r>
      <w:proofErr w:type="spellStart"/>
      <w:r>
        <w:t>mvfro</w:t>
      </w:r>
      <w:proofErr w:type="spellEnd"/>
      <w:r>
        <w:t xml:space="preserve"> de 32 bits sin signo para almacenar el valor del registro MVFRO de la FPU, e</w:t>
      </w:r>
      <w:r w:rsidRPr="0030141A">
        <w:t xml:space="preserve">l MVFR0 (Media and VFP </w:t>
      </w:r>
      <w:proofErr w:type="spellStart"/>
      <w:r w:rsidRPr="0030141A">
        <w:t>Feature</w:t>
      </w:r>
      <w:proofErr w:type="spellEnd"/>
      <w:r w:rsidRPr="0030141A">
        <w:t xml:space="preserve"> </w:t>
      </w:r>
      <w:proofErr w:type="spellStart"/>
      <w:r w:rsidRPr="0030141A">
        <w:t>Register</w:t>
      </w:r>
      <w:proofErr w:type="spellEnd"/>
      <w:r w:rsidRPr="0030141A">
        <w:t xml:space="preserve"> 0) es un registro de solo lectura que proporciona información sobre las características de la Unidad de Punto Flotante (FPU) y la arquitectura SIMD (</w:t>
      </w:r>
      <w:proofErr w:type="gramStart"/>
      <w:r w:rsidRPr="0030141A">
        <w:t>Single</w:t>
      </w:r>
      <w:proofErr w:type="gramEnd"/>
      <w:r w:rsidRPr="0030141A">
        <w:t xml:space="preserve"> </w:t>
      </w:r>
      <w:proofErr w:type="spellStart"/>
      <w:r w:rsidRPr="0030141A">
        <w:t>Instruction</w:t>
      </w:r>
      <w:proofErr w:type="spellEnd"/>
      <w:r w:rsidRPr="0030141A">
        <w:t xml:space="preserve">, </w:t>
      </w:r>
      <w:proofErr w:type="spellStart"/>
      <w:r w:rsidRPr="0030141A">
        <w:t>Multiple</w:t>
      </w:r>
      <w:proofErr w:type="spellEnd"/>
      <w:r w:rsidRPr="0030141A">
        <w:t xml:space="preserve"> Data) avanzada en el procesador</w:t>
      </w:r>
    </w:p>
    <w:p w14:paraId="03DAFA9D" w14:textId="77777777" w:rsidR="0030141A" w:rsidRPr="0030141A" w:rsidRDefault="0030141A" w:rsidP="0030141A">
      <w:pPr>
        <w:jc w:val="both"/>
        <w:rPr>
          <w:b/>
          <w:bCs/>
        </w:rPr>
      </w:pPr>
      <w:r w:rsidRPr="0030141A">
        <w:rPr>
          <w:b/>
          <w:bCs/>
        </w:rPr>
        <w:t>Campos del MVFR0</w:t>
      </w:r>
    </w:p>
    <w:p w14:paraId="02CCFEBA" w14:textId="77777777" w:rsidR="0030141A" w:rsidRPr="0030141A" w:rsidRDefault="0030141A" w:rsidP="0030141A">
      <w:pPr>
        <w:jc w:val="both"/>
      </w:pPr>
      <w:r w:rsidRPr="0030141A">
        <w:t>Algunos de los campos importantes del registro MVFR0 incluyen:</w:t>
      </w:r>
    </w:p>
    <w:p w14:paraId="0D54E710" w14:textId="52744672" w:rsidR="0030141A" w:rsidRPr="0030141A" w:rsidRDefault="0030141A" w:rsidP="0030141A">
      <w:pPr>
        <w:numPr>
          <w:ilvl w:val="0"/>
          <w:numId w:val="4"/>
        </w:numPr>
        <w:jc w:val="both"/>
      </w:pPr>
      <w:r w:rsidRPr="0030141A">
        <w:rPr>
          <w:b/>
          <w:bCs/>
        </w:rPr>
        <w:t>SP (</w:t>
      </w:r>
      <w:proofErr w:type="gramStart"/>
      <w:r w:rsidRPr="0030141A">
        <w:rPr>
          <w:b/>
          <w:bCs/>
        </w:rPr>
        <w:t>Single</w:t>
      </w:r>
      <w:proofErr w:type="gramEnd"/>
      <w:r w:rsidRPr="0030141A">
        <w:rPr>
          <w:b/>
          <w:bCs/>
        </w:rPr>
        <w:t xml:space="preserve"> </w:t>
      </w:r>
      <w:proofErr w:type="spellStart"/>
      <w:r w:rsidRPr="0030141A">
        <w:rPr>
          <w:b/>
          <w:bCs/>
        </w:rPr>
        <w:t>Precision</w:t>
      </w:r>
      <w:proofErr w:type="spellEnd"/>
      <w:r w:rsidRPr="0030141A">
        <w:rPr>
          <w:b/>
          <w:bCs/>
        </w:rPr>
        <w:t>)</w:t>
      </w:r>
      <w:r w:rsidRPr="0030141A">
        <w:t>: Indica si la FPU soporta operaciones de precisión simple.</w:t>
      </w:r>
    </w:p>
    <w:p w14:paraId="0D30FADA" w14:textId="51BF5349" w:rsidR="0030141A" w:rsidRPr="0030141A" w:rsidRDefault="0030141A" w:rsidP="0030141A">
      <w:pPr>
        <w:numPr>
          <w:ilvl w:val="0"/>
          <w:numId w:val="4"/>
        </w:numPr>
        <w:jc w:val="both"/>
      </w:pPr>
      <w:r w:rsidRPr="0030141A">
        <w:rPr>
          <w:b/>
          <w:bCs/>
        </w:rPr>
        <w:t>DP (</w:t>
      </w:r>
      <w:proofErr w:type="spellStart"/>
      <w:r w:rsidRPr="0030141A">
        <w:rPr>
          <w:b/>
          <w:bCs/>
        </w:rPr>
        <w:t>Double</w:t>
      </w:r>
      <w:proofErr w:type="spellEnd"/>
      <w:r w:rsidRPr="0030141A">
        <w:rPr>
          <w:b/>
          <w:bCs/>
        </w:rPr>
        <w:t xml:space="preserve"> </w:t>
      </w:r>
      <w:proofErr w:type="spellStart"/>
      <w:r w:rsidRPr="0030141A">
        <w:rPr>
          <w:b/>
          <w:bCs/>
        </w:rPr>
        <w:t>Precision</w:t>
      </w:r>
      <w:proofErr w:type="spellEnd"/>
      <w:r w:rsidRPr="0030141A">
        <w:rPr>
          <w:b/>
          <w:bCs/>
        </w:rPr>
        <w:t>)</w:t>
      </w:r>
      <w:r w:rsidRPr="0030141A">
        <w:t>: Indica si la FPU soporta operaciones de precisión doble.</w:t>
      </w:r>
    </w:p>
    <w:p w14:paraId="2B1443D8" w14:textId="33EB097D" w:rsidR="0030141A" w:rsidRPr="0030141A" w:rsidRDefault="0030141A" w:rsidP="0030141A">
      <w:pPr>
        <w:numPr>
          <w:ilvl w:val="0"/>
          <w:numId w:val="4"/>
        </w:numPr>
        <w:jc w:val="both"/>
      </w:pPr>
      <w:r w:rsidRPr="0030141A">
        <w:rPr>
          <w:b/>
          <w:bCs/>
        </w:rPr>
        <w:t xml:space="preserve"> (Divide)</w:t>
      </w:r>
      <w:r w:rsidRPr="0030141A">
        <w:t>: Indica si la FPU soporta operaciones de división en hardware.</w:t>
      </w:r>
    </w:p>
    <w:p w14:paraId="437B8B11" w14:textId="5AD7BE73" w:rsidR="0030141A" w:rsidRPr="0030141A" w:rsidRDefault="0030141A" w:rsidP="0030141A">
      <w:pPr>
        <w:numPr>
          <w:ilvl w:val="0"/>
          <w:numId w:val="4"/>
        </w:numPr>
        <w:jc w:val="both"/>
      </w:pPr>
      <w:r w:rsidRPr="0030141A">
        <w:rPr>
          <w:b/>
          <w:bCs/>
        </w:rPr>
        <w:t xml:space="preserve">SR (Square </w:t>
      </w:r>
      <w:proofErr w:type="spellStart"/>
      <w:r w:rsidRPr="0030141A">
        <w:rPr>
          <w:b/>
          <w:bCs/>
        </w:rPr>
        <w:t>Root</w:t>
      </w:r>
      <w:proofErr w:type="spellEnd"/>
      <w:r w:rsidRPr="0030141A">
        <w:rPr>
          <w:b/>
          <w:bCs/>
        </w:rPr>
        <w:t>)</w:t>
      </w:r>
      <w:r w:rsidRPr="0030141A">
        <w:t>: Indica si la FPU soporta operaciones de raíz cuadrada en hardware</w:t>
      </w:r>
    </w:p>
    <w:p w14:paraId="6828C696" w14:textId="69B76DDB" w:rsidR="008523A5" w:rsidRPr="008523A5" w:rsidRDefault="008523A5" w:rsidP="00E00AAD">
      <w:pPr>
        <w:jc w:val="both"/>
        <w:rPr>
          <w:b/>
          <w:bCs/>
          <w:sz w:val="28"/>
          <w:szCs w:val="28"/>
        </w:rPr>
      </w:pPr>
      <w:r w:rsidRPr="008523A5">
        <w:rPr>
          <w:b/>
          <w:bCs/>
          <w:sz w:val="28"/>
          <w:szCs w:val="28"/>
        </w:rPr>
        <w:t xml:space="preserve">En el programa </w:t>
      </w:r>
      <w:proofErr w:type="spellStart"/>
      <w:r w:rsidRPr="008523A5">
        <w:rPr>
          <w:b/>
          <w:bCs/>
          <w:sz w:val="28"/>
          <w:szCs w:val="28"/>
        </w:rPr>
        <w:t>FPU.c</w:t>
      </w:r>
      <w:proofErr w:type="spellEnd"/>
    </w:p>
    <w:p w14:paraId="00BA1E3D" w14:textId="7443CD52" w:rsidR="0030141A" w:rsidRDefault="00F33808" w:rsidP="00E00AAD">
      <w:pPr>
        <w:jc w:val="both"/>
      </w:pPr>
      <w:r>
        <w:t>La condición para determinar el tipo de FPU: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808" w14:paraId="218DBA08" w14:textId="77777777" w:rsidTr="00F33808">
        <w:tc>
          <w:tcPr>
            <w:tcW w:w="8828" w:type="dxa"/>
          </w:tcPr>
          <w:p w14:paraId="69953E1A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>if ((mvfr0 &amp; (FPU_MVFR0_Single_precision_Msk | FPU_MVFR0_Double_precision_Msk)) == 0x020U)</w:t>
            </w:r>
          </w:p>
          <w:p w14:paraId="1D7C6A74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>{</w:t>
            </w:r>
          </w:p>
          <w:p w14:paraId="490C930C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 xml:space="preserve">  return 1</w:t>
            </w:r>
            <w:proofErr w:type="gramStart"/>
            <w:r w:rsidRPr="00F33808">
              <w:rPr>
                <w:lang w:val="en-US"/>
              </w:rPr>
              <w:t xml:space="preserve">U;   </w:t>
            </w:r>
            <w:proofErr w:type="gramEnd"/>
            <w:r w:rsidRPr="00F33808">
              <w:rPr>
                <w:lang w:val="en-US"/>
              </w:rPr>
              <w:t xml:space="preserve">        /* Single precision FPU */</w:t>
            </w:r>
          </w:p>
          <w:p w14:paraId="027201F7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>}</w:t>
            </w:r>
          </w:p>
          <w:p w14:paraId="6AC20299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>else</w:t>
            </w:r>
          </w:p>
          <w:p w14:paraId="2FEA8552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t>{</w:t>
            </w:r>
          </w:p>
          <w:p w14:paraId="53096E2F" w14:textId="77777777" w:rsidR="00F33808" w:rsidRPr="00F33808" w:rsidRDefault="00F33808" w:rsidP="00F33808">
            <w:pPr>
              <w:jc w:val="both"/>
              <w:rPr>
                <w:lang w:val="en-US"/>
              </w:rPr>
            </w:pPr>
            <w:r w:rsidRPr="00F33808">
              <w:rPr>
                <w:lang w:val="en-US"/>
              </w:rPr>
              <w:lastRenderedPageBreak/>
              <w:t xml:space="preserve">  return 0</w:t>
            </w:r>
            <w:proofErr w:type="gramStart"/>
            <w:r w:rsidRPr="00F33808">
              <w:rPr>
                <w:lang w:val="en-US"/>
              </w:rPr>
              <w:t xml:space="preserve">U;   </w:t>
            </w:r>
            <w:proofErr w:type="gramEnd"/>
            <w:r w:rsidRPr="00F33808">
              <w:rPr>
                <w:lang w:val="en-US"/>
              </w:rPr>
              <w:t xml:space="preserve">        /* No FPU */</w:t>
            </w:r>
          </w:p>
          <w:p w14:paraId="52E475F3" w14:textId="2BD4E149" w:rsidR="00F33808" w:rsidRDefault="00F33808" w:rsidP="00F33808">
            <w:pPr>
              <w:jc w:val="both"/>
            </w:pPr>
            <w:r>
              <w:t>}</w:t>
            </w:r>
          </w:p>
        </w:tc>
      </w:tr>
    </w:tbl>
    <w:p w14:paraId="74720EBB" w14:textId="4C857A4D" w:rsidR="00F33808" w:rsidRPr="00F33808" w:rsidRDefault="00F33808" w:rsidP="00F33808">
      <w:pPr>
        <w:pStyle w:val="Prrafodelista"/>
        <w:numPr>
          <w:ilvl w:val="0"/>
          <w:numId w:val="6"/>
        </w:numPr>
        <w:jc w:val="both"/>
      </w:pPr>
      <w:r w:rsidRPr="00F33808">
        <w:lastRenderedPageBreak/>
        <w:t>Se aplica una máscara al valor de mvfr0 para aislar los bits que indican el soporte de precisión simple y doble de la FPU.</w:t>
      </w:r>
    </w:p>
    <w:p w14:paraId="56AC0A87" w14:textId="77777777" w:rsidR="00F33808" w:rsidRPr="00F33808" w:rsidRDefault="00F33808" w:rsidP="00F33808">
      <w:pPr>
        <w:pStyle w:val="Prrafodelista"/>
        <w:numPr>
          <w:ilvl w:val="0"/>
          <w:numId w:val="6"/>
        </w:numPr>
        <w:jc w:val="both"/>
      </w:pPr>
      <w:r w:rsidRPr="00F33808">
        <w:t>== 0x020U: Se compara el resultado con 0x020U (valor que indica que solo se soporta precisión simple).</w:t>
      </w:r>
    </w:p>
    <w:p w14:paraId="211CBAC8" w14:textId="77777777" w:rsidR="00F33808" w:rsidRPr="00F33808" w:rsidRDefault="00F33808" w:rsidP="00F33808">
      <w:pPr>
        <w:pStyle w:val="Prrafodelista"/>
        <w:numPr>
          <w:ilvl w:val="0"/>
          <w:numId w:val="6"/>
        </w:numPr>
        <w:jc w:val="both"/>
      </w:pPr>
      <w:proofErr w:type="spellStart"/>
      <w:r w:rsidRPr="00F33808">
        <w:t>return</w:t>
      </w:r>
      <w:proofErr w:type="spellEnd"/>
      <w:r w:rsidRPr="00F33808">
        <w:t xml:space="preserve"> 1</w:t>
      </w:r>
      <w:proofErr w:type="gramStart"/>
      <w:r w:rsidRPr="00F33808">
        <w:t>U;:</w:t>
      </w:r>
      <w:proofErr w:type="gramEnd"/>
      <w:r w:rsidRPr="00F33808">
        <w:t xml:space="preserve"> Si la condición es verdadera, la función devuelve 1, indicando que la FPU soporta precisión simple.</w:t>
      </w:r>
    </w:p>
    <w:p w14:paraId="6636470C" w14:textId="77777777" w:rsidR="00F33808" w:rsidRPr="00F33808" w:rsidRDefault="00F33808" w:rsidP="00F33808">
      <w:pPr>
        <w:pStyle w:val="Prrafodelista"/>
        <w:numPr>
          <w:ilvl w:val="0"/>
          <w:numId w:val="6"/>
        </w:numPr>
        <w:jc w:val="both"/>
      </w:pPr>
      <w:proofErr w:type="spellStart"/>
      <w:r w:rsidRPr="00F33808">
        <w:t>return</w:t>
      </w:r>
      <w:proofErr w:type="spellEnd"/>
      <w:r w:rsidRPr="00F33808">
        <w:t xml:space="preserve"> 0</w:t>
      </w:r>
      <w:proofErr w:type="gramStart"/>
      <w:r w:rsidRPr="00F33808">
        <w:t>U;:</w:t>
      </w:r>
      <w:proofErr w:type="gramEnd"/>
      <w:r w:rsidRPr="00F33808">
        <w:t xml:space="preserve"> Si la condición es falsa, la función devuelve 0, indicando que no hay FPU.</w:t>
      </w:r>
    </w:p>
    <w:p w14:paraId="4B5080A2" w14:textId="1F29C2A6" w:rsidR="00F33808" w:rsidRPr="00F33808" w:rsidRDefault="00F33808" w:rsidP="00F33808">
      <w:pPr>
        <w:jc w:val="both"/>
      </w:pPr>
      <w:r w:rsidRPr="00F33808">
        <w:t xml:space="preserve">En resumen, esta función verifica si la FPU del sistema soporta precisión simple y devuelve 1 si es así, o 0 si no hay FPU. </w:t>
      </w:r>
    </w:p>
    <w:p w14:paraId="372BEBF2" w14:textId="77777777" w:rsidR="008523A5" w:rsidRPr="008523A5" w:rsidRDefault="008523A5" w:rsidP="008523A5">
      <w:pPr>
        <w:numPr>
          <w:ilvl w:val="0"/>
          <w:numId w:val="7"/>
        </w:numPr>
        <w:jc w:val="both"/>
      </w:pPr>
      <w:r w:rsidRPr="008523A5">
        <w:rPr>
          <w:b/>
          <w:bCs/>
        </w:rPr>
        <w:t>Condicional de preprocesador</w:t>
      </w:r>
      <w:r w:rsidRPr="008523A5">
        <w:t>: Verifica si la FPU está presente (__FPU_PRESENT == 1) y si se va a utilizar (__FPU_USED == 1).</w:t>
      </w:r>
    </w:p>
    <w:p w14:paraId="2B077F27" w14:textId="77777777" w:rsidR="008523A5" w:rsidRPr="008523A5" w:rsidRDefault="008523A5" w:rsidP="008523A5">
      <w:pPr>
        <w:numPr>
          <w:ilvl w:val="0"/>
          <w:numId w:val="7"/>
        </w:numPr>
        <w:jc w:val="both"/>
      </w:pPr>
      <w:r w:rsidRPr="008523A5">
        <w:t>SCB-&gt;CPACR: Accede al registro CPACR (</w:t>
      </w:r>
      <w:proofErr w:type="spellStart"/>
      <w:r w:rsidRPr="008523A5">
        <w:t>Coprocessor</w:t>
      </w:r>
      <w:proofErr w:type="spellEnd"/>
      <w:r w:rsidRPr="008523A5">
        <w:t xml:space="preserve"> Access Control </w:t>
      </w:r>
      <w:proofErr w:type="spellStart"/>
      <w:r w:rsidRPr="008523A5">
        <w:t>Register</w:t>
      </w:r>
      <w:proofErr w:type="spellEnd"/>
      <w:r w:rsidRPr="008523A5">
        <w:t>) del SCB.</w:t>
      </w:r>
    </w:p>
    <w:p w14:paraId="59A5C5A5" w14:textId="77777777" w:rsidR="008523A5" w:rsidRPr="008523A5" w:rsidRDefault="008523A5" w:rsidP="008523A5">
      <w:pPr>
        <w:numPr>
          <w:ilvl w:val="0"/>
          <w:numId w:val="7"/>
        </w:numPr>
        <w:jc w:val="both"/>
      </w:pPr>
      <w:r w:rsidRPr="008523A5">
        <w:t>|= ((3UL &lt;&lt; 10*</w:t>
      </w:r>
      <w:proofErr w:type="gramStart"/>
      <w:r w:rsidRPr="008523A5">
        <w:t>2)|</w:t>
      </w:r>
      <w:proofErr w:type="gramEnd"/>
      <w:r w:rsidRPr="008523A5">
        <w:t>(3UL &lt;&lt; 11*2)): Configura los bits correspondientes a los coprocesadores CP10 y CP11 para darles acceso completo (Full Access).</w:t>
      </w:r>
    </w:p>
    <w:p w14:paraId="479C39E9" w14:textId="77777777" w:rsidR="008523A5" w:rsidRPr="008523A5" w:rsidRDefault="008523A5" w:rsidP="008523A5">
      <w:pPr>
        <w:numPr>
          <w:ilvl w:val="1"/>
          <w:numId w:val="7"/>
        </w:numPr>
        <w:jc w:val="both"/>
      </w:pPr>
      <w:r w:rsidRPr="008523A5">
        <w:t>3UL: Es un valor de 2 bits (11 en binario) que indica acceso completo.</w:t>
      </w:r>
    </w:p>
    <w:p w14:paraId="4F6679DC" w14:textId="77777777" w:rsidR="008523A5" w:rsidRPr="008523A5" w:rsidRDefault="008523A5" w:rsidP="008523A5">
      <w:pPr>
        <w:numPr>
          <w:ilvl w:val="1"/>
          <w:numId w:val="7"/>
        </w:numPr>
        <w:jc w:val="both"/>
      </w:pPr>
      <w:r w:rsidRPr="008523A5">
        <w:t>&lt;&lt; 10*2 y &lt;&lt; 11*2: Desplaza el valor 3UL a las posiciones correspondientes a CP10 y CP11 en el registro CPACR.</w:t>
      </w:r>
    </w:p>
    <w:p w14:paraId="5FFFBA13" w14:textId="77777777" w:rsidR="00F33808" w:rsidRDefault="00F33808" w:rsidP="00E00AAD">
      <w:pPr>
        <w:jc w:val="both"/>
      </w:pPr>
    </w:p>
    <w:p w14:paraId="22E58388" w14:textId="77777777" w:rsidR="0030141A" w:rsidRDefault="0030141A" w:rsidP="00E00AAD">
      <w:pPr>
        <w:jc w:val="both"/>
      </w:pPr>
    </w:p>
    <w:sectPr w:rsidR="00301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8104D"/>
    <w:multiLevelType w:val="multilevel"/>
    <w:tmpl w:val="025E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615C4"/>
    <w:multiLevelType w:val="multilevel"/>
    <w:tmpl w:val="71D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A120B"/>
    <w:multiLevelType w:val="multilevel"/>
    <w:tmpl w:val="ACA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F45E5"/>
    <w:multiLevelType w:val="hybridMultilevel"/>
    <w:tmpl w:val="69742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02768"/>
    <w:multiLevelType w:val="multilevel"/>
    <w:tmpl w:val="EBBA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F63C8"/>
    <w:multiLevelType w:val="multilevel"/>
    <w:tmpl w:val="7E14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47648"/>
    <w:multiLevelType w:val="multilevel"/>
    <w:tmpl w:val="DA8E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643186">
    <w:abstractNumId w:val="6"/>
  </w:num>
  <w:num w:numId="2" w16cid:durableId="830486291">
    <w:abstractNumId w:val="4"/>
  </w:num>
  <w:num w:numId="3" w16cid:durableId="1926570117">
    <w:abstractNumId w:val="5"/>
  </w:num>
  <w:num w:numId="4" w16cid:durableId="1887059944">
    <w:abstractNumId w:val="1"/>
  </w:num>
  <w:num w:numId="5" w16cid:durableId="655492615">
    <w:abstractNumId w:val="0"/>
  </w:num>
  <w:num w:numId="6" w16cid:durableId="1095589202">
    <w:abstractNumId w:val="3"/>
  </w:num>
  <w:num w:numId="7" w16cid:durableId="9301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3"/>
    <w:rsid w:val="002B7A24"/>
    <w:rsid w:val="002C43A4"/>
    <w:rsid w:val="0030141A"/>
    <w:rsid w:val="00446F26"/>
    <w:rsid w:val="00471141"/>
    <w:rsid w:val="006A1703"/>
    <w:rsid w:val="006D44B1"/>
    <w:rsid w:val="006F6EDD"/>
    <w:rsid w:val="008523A5"/>
    <w:rsid w:val="008A0E3B"/>
    <w:rsid w:val="008E48CB"/>
    <w:rsid w:val="009B59A2"/>
    <w:rsid w:val="00B06C3A"/>
    <w:rsid w:val="00C22338"/>
    <w:rsid w:val="00CD3FEA"/>
    <w:rsid w:val="00D57FEE"/>
    <w:rsid w:val="00E00AAD"/>
    <w:rsid w:val="00E525A7"/>
    <w:rsid w:val="00F3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FAC7"/>
  <w15:chartTrackingRefBased/>
  <w15:docId w15:val="{F00124B0-0483-4AE4-B1E1-04512B1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7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14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4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1330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ABRAHAM HERNANDEZ VARGAS</dc:creator>
  <cp:keywords/>
  <dc:description/>
  <cp:lastModifiedBy>JOSE ABRAHAM HERNANDEZ VARGAS</cp:lastModifiedBy>
  <cp:revision>6</cp:revision>
  <dcterms:created xsi:type="dcterms:W3CDTF">2024-10-02T23:06:00Z</dcterms:created>
  <dcterms:modified xsi:type="dcterms:W3CDTF">2024-10-06T04:21:00Z</dcterms:modified>
</cp:coreProperties>
</file>