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Unit economics — Zonix Pharma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</w:t>
      </w:r>
      <w:r>
        <w:t xml:space="preserve"> salvo que acordemos otra cosa en reunión. Es material para alinear visión y revisar números con alguien que conoce el mercado local.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p>
      <w:r>
        <w:t xml:space="preserve">Zonix cobra a cada farmacia una </w:t>
      </w:r>
      <w:r>
        <w:rPr>
          <w:b/>
        </w:rPr>
        <w:t>cuota fija + un porcentaje bajo sobre ventas en app</w:t>
      </w:r>
      <w:r>
        <w:t xml:space="preserve"> (modelo híbrido, no comisión tipo agregador). Con los supuestos actuales del piloto: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**Ingreso medio por farmacia (ARPF)**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50/mes** *(placeholder hasta medir GMV real)*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**Costo de adquirir una farmacia (CAC)**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139**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**Valor de vida del cliente (LTV)**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1.000**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**LTV / CAC**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**~7,2×**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**Recuperación del CAC (payback)**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**~2,8 meses**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**Churn mensual objetivo**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**5%** (~20 meses de vida promedio)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**Margen bruto plataforma**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**~92%** *(sin operar logística del medicamento)*</w:t>
            </w:r>
          </w:p>
        </w:tc>
      </w:tr>
    </w:tbl>
    <w:p/>
    <w:p>
      <w:r/>
      <w:r>
        <w:rPr>
          <w:b/>
        </w:rPr>
        <w:t>En una frase:</w:t>
      </w:r>
      <w:r>
        <w:t xml:space="preserve"> cada farmacia que entra debería pagar de media </w:t>
      </w:r>
      <w:r>
        <w:rPr>
          <w:b/>
        </w:rPr>
        <w:t>~50 USD/mes</w:t>
      </w:r>
      <w:r>
        <w:t xml:space="preserve">; cuesta </w:t>
      </w:r>
      <w:r>
        <w:rPr>
          <w:b/>
        </w:rPr>
        <w:t>~139 USD</w:t>
      </w:r>
      <w:r>
        <w:t xml:space="preserve"> traerla; el negocio recupera esa inversión en </w:t>
      </w:r>
      <w:r>
        <w:rPr>
          <w:b/>
        </w:rPr>
        <w:t>menos de 3 meses</w:t>
      </w:r>
      <w:r>
        <w:t xml:space="preserve"> y el ratio LTV/CAC (</w:t>
      </w:r>
      <w:r>
        <w:rPr>
          <w:b/>
        </w:rPr>
        <w:t>7,2×</w:t>
      </w:r>
      <w:r>
        <w:t>) está por encima del umbral típico de SaaS B2B (3–5×).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Cómo gana dinero Zonix (modelo simple)</w:t>
      </w:r>
    </w:p>
    <w:p>
      <w:r>
        <w:t xml:space="preserve">Zonix Pharma es </w:t>
      </w:r>
      <w:r>
        <w:rPr>
          <w:b/>
        </w:rPr>
        <w:t>software + intermediación</w:t>
      </w:r>
      <w:r>
        <w:t xml:space="preserve">: conecta pacientes con farmacias independientes en Carabobo. </w:t>
      </w:r>
      <w:r>
        <w:rPr>
          <w:b/>
        </w:rPr>
        <w:t>No</w:t>
      </w:r>
      <w:r>
        <w:t xml:space="preserve"> compra ni reparte medicamentos; la farmacia despacha y cumple la normativa.</w:t>
      </w:r>
    </w:p>
    <w:p>
      <w:r/>
      <w:r>
        <w:rPr>
          <w:b/>
        </w:rPr>
        <w:t>Cobro a la farmacia (híbrido):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Nivel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Cuota fija mensual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Fee sobre GMV en app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Basic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USD 25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~0,6%–1% según banda de ventas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USD 40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idem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Enterprise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USD 55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idem</w:t>
            </w:r>
          </w:p>
        </w:tc>
      </w:tr>
    </w:tbl>
    <w:p/>
    <w:p>
      <w:r>
        <w:t xml:space="preserve">El </w:t>
      </w:r>
      <w:r>
        <w:rPr>
          <w:b/>
        </w:rPr>
        <w:t>ARPF ~50 USD/mes</w:t>
      </w:r>
      <w:r>
        <w:t xml:space="preserve"> es un </w:t>
      </w:r>
      <w:r>
        <w:rPr>
          <w:b/>
        </w:rPr>
        <w:t>promedio de trabajo</w:t>
      </w:r>
      <w:r>
        <w:t xml:space="preserve"> (mix 60/30/10 Basic/Pro/Enterprise) hasta tener datos reales del piloto. Cuando midamos GMV y tiers, se recalibra.</w:t>
      </w:r>
    </w:p>
    <w:p>
      <w:r/>
      <w:r>
        <w:rPr>
          <w:b/>
        </w:rPr>
        <w:t>Fórmula mental:</w:t>
      </w:r>
      <w:r/>
    </w:p>
    <w:p>
      <w:r>
        <w:t>```</w:t>
      </w:r>
    </w:p>
    <w:p>
      <w:r>
        <w:t>Ingreso por farmacia (LTV) = ARPF × meses de vida</w:t>
      </w:r>
    </w:p>
    <w:p>
      <w:r>
        <w:t xml:space="preserve">                           = 50 × 20</w:t>
      </w:r>
    </w:p>
    <w:p>
      <w:r>
        <w:t xml:space="preserve">                           = USD 1.000</w:t>
      </w:r>
    </w:p>
    <w:p>
      <w:r>
        <w:t>LTV / CAC = 1.000 / 139 ≈ 7,2×</w:t>
      </w:r>
    </w:p>
    <w:p>
      <w:r>
        <w:t>Payback = CAC / ARPF = 139 / 50 ≈ 2,8 meses</w:t>
      </w:r>
    </w:p>
    <w:p>
      <w:r>
        <w:t>```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ARPF — ingreso medio por farmacia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Modelo vigente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Cuota **25 / 40 / 55** + % sobre GMV en app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Placeholder pack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50/mes** hasta post-Day-D con ≥30 días de GMV medido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Sensibilidad baja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Si ARPF efectivo fuera **41 USD/mes** → LTV **820** → LTV/CAC **~5,9×** (sigue saludable)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Sensibilidad alta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Si ARPF subiera a **~53 USD/mes** → equilibrio mensual podría adelantarse a **~M11**</w:t>
            </w:r>
          </w:p>
        </w:tc>
      </w:tr>
    </w:tbl>
    <w:p/>
    <w:p>
      <w:pPr>
        <w:pStyle w:val="Heading2"/>
      </w:pPr>
      <w:r>
        <w:t>Ejemplo numérico con GMV real (ilustrativo)</w:t>
      </w:r>
    </w:p>
    <w:p>
      <w:r>
        <w:t xml:space="preserve">Farmacia en nivel </w:t>
      </w:r>
      <w:r>
        <w:rPr>
          <w:b/>
        </w:rPr>
        <w:t>Pro</w:t>
      </w:r>
      <w:r>
        <w:t xml:space="preserve"> con </w:t>
      </w:r>
      <w:r>
        <w:rPr>
          <w:b/>
        </w:rPr>
        <w:t>5.000 USD/mes</w:t>
      </w:r>
      <w:r>
        <w:t xml:space="preserve"> de ventas completadas en app:</w:t>
      </w:r>
    </w:p>
    <w:p>
      <w:r>
        <w:t>```</w:t>
      </w:r>
    </w:p>
    <w:p>
      <w:r>
        <w:t>Cuota mes = 40 + (0,80% × 5.000) = 40 + 40 = USD 80/mes</w:t>
      </w:r>
    </w:p>
    <w:p>
      <w:r>
        <w:t>```</w:t>
      </w:r>
    </w:p>
    <w:p>
      <w:r>
        <w:t xml:space="preserve">Si esa farmacia permanece ~20 meses activa, su LTV para Zonix sería </w:t>
      </w:r>
      <w:r>
        <w:rPr>
          <w:b/>
        </w:rPr>
        <w:t>~1.600 USD</w:t>
      </w:r>
      <w:r>
        <w:t xml:space="preserve"> — por encima del placeholder de 1.000. El </w:t>
      </w:r>
      <w:r>
        <w:rPr>
          <w:b/>
        </w:rPr>
        <w:t>~50</w:t>
      </w:r>
      <w:r>
        <w:t xml:space="preserve"> es conservador porque mezcla farmacias pequeñas (Basic) con pocas ventas al inicio.</w:t>
      </w:r>
    </w:p>
    <w:p>
      <w:pPr>
        <w:pStyle w:val="Heading2"/>
      </w:pPr>
      <w:r>
        <w:t>Disposición a pagar (WTP) — qué falta medir</w:t>
      </w:r>
    </w:p>
    <w:p>
      <w:r>
        <w:t xml:space="preserve">Antes del Day-D queremos </w:t>
      </w:r>
      <w:r>
        <w:rPr>
          <w:b/>
        </w:rPr>
        <w:t>≥3 entrevistas de pricing</w:t>
      </w:r>
      <w:r>
        <w:t xml:space="preserve"> con dueños de farmacia (cuota 25/40/55 + % GMV), preguntando </w:t>
      </w:r>
      <w:r>
        <w:rPr>
          <w:b/>
        </w:rPr>
        <w:t>hechos pasados</w:t>
      </w:r>
      <w:r>
        <w:t xml:space="preserve"> («¿cuánto pagaste el mes pasado a PedidosYa?»), no «¿usarías una app?». Gabriel puede ayudarnos a identificar farmacias donde hacer esas entrevistas sin sesgo comercial.</w:t>
      </w:r>
    </w:p>
    <w:p>
      <w:r/>
      <w:r>
        <w:rPr>
          <w:b/>
        </w:rPr>
        <w:t>Waiver piloto (opcional comercial):</w:t>
      </w:r>
      <w:r>
        <w:t xml:space="preserve"> primeras 10 farmacias, 2 meses sin cuota fija — solo si queda en contrato; no está modelado en la tabla central del año 1.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CAC — costo de adquisición (construcción)</w:t>
      </w:r>
    </w:p>
    <w:p>
      <w:r>
        <w:t xml:space="preserve">El </w:t>
      </w:r>
      <w:r>
        <w:rPr>
          <w:b/>
        </w:rPr>
        <w:t>USD 139</w:t>
      </w:r>
      <w:r>
        <w:t xml:space="preserve"> es el headline </w:t>
      </w:r>
      <w:r>
        <w:rPr>
          <w:b/>
        </w:rPr>
        <w:t>conservador</w:t>
      </w:r>
      <w:r>
        <w:t xml:space="preserve"> del pack. Desglose bottom-up: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USD por farmacia firmada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Comisión comercial B2B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Prorrateo equipo **4 vendedores** (base ~1.400/mes ÷ ~16 firmas/mes capacidad)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~88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Marketing digital geo (Meta + canales B2B)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Material impreso, demos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Soporte onboarding proporcional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Pérdida por cancelación primer mes (~10%)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**Suma explícita**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**~177**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**Headline pitch (redondeo conservador)**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**139**</w:t>
            </w:r>
          </w:p>
        </w:tc>
      </w:tr>
    </w:tbl>
    <w:p/>
    <w:p>
      <w:r/>
      <w:r>
        <w:rPr>
          <w:b/>
        </w:rPr>
        <w:t>Sensibilidad:</w:t>
      </w:r>
      <w:r>
        <w:t xml:space="preserve"> si la comisión sube a </w:t>
      </w:r>
      <w:r>
        <w:rPr>
          <w:b/>
        </w:rPr>
        <w:t>50 USD/firma</w:t>
      </w:r>
      <w:r>
        <w:t xml:space="preserve"> → CAC </w:t>
      </w:r>
      <w:r>
        <w:rPr>
          <w:b/>
        </w:rPr>
        <w:t>~159</w:t>
      </w:r>
      <w:r>
        <w:t xml:space="preserve"> → LTV/CAC </w:t>
      </w:r>
      <w:r>
        <w:rPr>
          <w:b/>
        </w:rPr>
        <w:t>~6,3×</w:t>
      </w:r>
      <w:r>
        <w:t xml:space="preserve"> (aún sólido).</w:t>
      </w:r>
    </w:p>
    <w:p>
      <w:r/>
      <w:r>
        <w:rPr>
          <w:b/>
        </w:rPr>
        <w:t>Nota operativa:</w:t>
      </w:r>
      <w:r>
        <w:t xml:space="preserve"> el CAC usa </w:t>
      </w:r>
      <w:r>
        <w:rPr>
          <w:b/>
        </w:rPr>
        <w:t>~8 firmas/mes</w:t>
      </w:r>
      <w:r>
        <w:t xml:space="preserve"> en régimen de crucero (conservador). Si el canal sostiene más ritmo, el prorrateo fijo baja; el </w:t>
      </w:r>
      <w:r>
        <w:rPr>
          <w:b/>
        </w:rPr>
        <w:t>139</w:t>
      </w:r>
      <w:r>
        <w:t xml:space="preserve"> incorpora margen de seguridad. El plan comercial v3.3 asume </w:t>
      </w:r>
      <w:r>
        <w:rPr>
          <w:b/>
        </w:rPr>
        <w:t>~185 firmas/año</w:t>
      </w:r>
      <w:r>
        <w:t xml:space="preserve"> (~15/mes pico), pero el </w:t>
      </w:r>
      <w:r>
        <w:rPr>
          <w:b/>
        </w:rPr>
        <w:t>stock de activas</w:t>
      </w:r>
      <w:r>
        <w:t xml:space="preserve"> (159 al M12) es la fuente de verdad para ingresos.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LTV y churn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Churn mensual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Meses de vida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LTV (ARPF 50)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LTV/CAC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Lectura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1.650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~11,9×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Muy optimista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**5% (base)**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**20**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**1.000**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**~7,2×**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**Caso central**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7%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~5,0×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Aceptable; activar retención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~3,6×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Marginal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15%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6,7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333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~2,4×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Insostenible — pivote</w:t>
            </w:r>
          </w:p>
        </w:tc>
      </w:tr>
    </w:tbl>
    <w:p/>
    <w:p>
      <w:r/>
      <w:r>
        <w:rPr>
          <w:b/>
        </w:rPr>
        <w:t>Por qué 5%:</w:t>
      </w:r>
      <w:r>
        <w:t xml:space="preserve"> mediana SaaS B2B SMB LatAm </w:t>
      </w:r>
      <w:r>
        <w:rPr>
          <w:b/>
        </w:rPr>
        <w:t>3–7%</w:t>
      </w:r>
      <w:r>
        <w:t xml:space="preserve">; marketplace farmacéutico algo más sticky que SaaS genérico, pero menos que ERP. </w:t>
      </w:r>
      <w:r>
        <w:rPr>
          <w:b/>
        </w:rPr>
        <w:t>5% = 60% anual</w:t>
      </w:r>
      <w:r>
        <w:t xml:space="preserve"> — conservador para el pitch.</w:t>
      </w:r>
    </w:p>
    <w:p>
      <w:r/>
      <w:r>
        <w:rPr>
          <w:b/>
        </w:rPr>
        <w:t>Trigger operativo:</w:t>
      </w:r>
      <w:r>
        <w:t xml:space="preserve"> si churn supera </w:t>
      </w:r>
      <w:r>
        <w:rPr>
          <w:b/>
        </w:rPr>
        <w:t>7%</w:t>
      </w:r>
      <w:r>
        <w:t xml:space="preserve"> en mes 6 → plan de retención comercial (visitas de cuenta, revisión de pricing, soporte dedicado).</w:t>
      </w:r>
    </w:p>
    <w:p>
      <w:pPr>
        <w:pStyle w:val="Heading2"/>
      </w:pPr>
      <w:r>
        <w:t>Cohortes — por qué importa pensar en capas</w:t>
      </w:r>
    </w:p>
    <w:p>
      <w:r>
        <w:t xml:space="preserve">Ejemplo: </w:t>
      </w:r>
      <w:r>
        <w:rPr>
          <w:b/>
        </w:rPr>
        <w:t>10 farmacias</w:t>
      </w:r>
      <w:r>
        <w:t xml:space="preserve"> que firman en el mes 4, churn 5%/mes: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Mes calendario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Activas de la cohort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Ingreso acumulado cohort (ARPF 50)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10,0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9,0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1.424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6,6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3.791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3,5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6.787</w:t>
            </w:r>
          </w:p>
        </w:tc>
      </w:tr>
    </w:tbl>
    <w:p/>
    <w:p>
      <w:r>
        <w:t xml:space="preserve">En operación real </w:t>
      </w:r>
      <w:r>
        <w:rPr>
          <w:b/>
        </w:rPr>
        <w:t>no hay una sola cohort</w:t>
      </w:r>
      <w:r>
        <w:t xml:space="preserve">: cada mes entran nuevas farmacias mientras las viejas se apagan. El revenue total es la </w:t>
      </w:r>
      <w:r>
        <w:rPr>
          <w:b/>
        </w:rPr>
        <w:t>suma de muchas cohortes</w:t>
      </w:r>
      <w:r>
        <w:t xml:space="preserve">. Por eso al año 3 pueden coexistir </w:t>
      </w:r>
      <w:r>
        <w:rPr>
          <w:b/>
        </w:rPr>
        <w:t>12+ cohortes</w:t>
      </w:r>
      <w:r>
        <w:t xml:space="preserve"> aportando ingreso residual.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Equilibrio operativo mensual</w:t>
      </w:r>
    </w:p>
    <w:p>
      <w:r>
        <w:t xml:space="preserve">Definición: mes en el que </w:t>
      </w:r>
      <w:r>
        <w:rPr>
          <w:b/>
        </w:rPr>
        <w:t>ingresos ≥ burn</w:t>
      </w:r>
      <w:r>
        <w:t xml:space="preserve"> del mismo mes.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 Lean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promedio año 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8.108/mes**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tramo cierre (M7–M12)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7.980/mes**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Farmacias para equilibrio (ARPF 50)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**~160 activas**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Activas al **M12** (caso central)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**~159**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Ingresos **M12** vs burn **M12**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**~7.950 vs ~7.980** → **casi equilibrio**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**Caja M12**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**~40.831 USD**</w:t>
            </w:r>
          </w:p>
        </w:tc>
      </w:tr>
    </w:tbl>
    <w:p/>
    <w:p>
      <w:r>
        <w:t xml:space="preserve">Con </w:t>
      </w:r>
      <w:r>
        <w:rPr>
          <w:b/>
        </w:rPr>
        <w:t>4 vendedores</w:t>
      </w:r>
      <w:r>
        <w:t xml:space="preserve"> y curva comercial base, el plan </w:t>
      </w:r>
      <w:r>
        <w:rPr>
          <w:b/>
        </w:rPr>
        <w:t>roza</w:t>
      </w:r>
      <w:r>
        <w:t xml:space="preserve"> el break-even mensual en el </w:t>
      </w:r>
      <w:r>
        <w:rPr>
          <w:b/>
        </w:rPr>
        <w:t>mes 12</w:t>
      </w:r>
      <w:r>
        <w:t>. Alternativas documentadas: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Variante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Palanca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Activas M12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Mes BE aprox.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**Lean (base)**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Curva ×1,0, ARPF ~50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Casi M12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**Lean+ comercial**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Curva firmas **×1,15** (mismo ~112k)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~183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~M10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**Lean+ unit economics**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**ARPF ~53** sin acelerar curva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~M11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**Base ~157k**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Más colchón de caja, mismos 4× Sales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Similar Lean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Comparación rápida con benchmarks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Zonix Pharma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Referencia LatAm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Modelo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Cuota + % GMV (bajo)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Agregadores: 25–35% GMV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LTV/CAC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**~7,2×**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B2B SMB: 3–5×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Payback CAC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**~2,8 meses**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típico: 12–18 meses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Churn objetivo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5%/mes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5–7% mediana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Margen bruto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~92% plataforma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Marketplace con logística: ~65%</w:t>
            </w:r>
          </w:p>
        </w:tc>
      </w:tr>
    </w:tbl>
    <w:p/>
    <w:p>
      <w:r/>
      <w:r>
        <w:rPr>
          <w:b/>
        </w:rPr>
        <w:t>Lectura:</w:t>
      </w:r>
      <w:r>
        <w:t xml:space="preserve"> buen payback y LTV/CAC porque Zonix </w:t>
      </w:r>
      <w:r>
        <w:rPr>
          <w:b/>
        </w:rPr>
        <w:t>no</w:t>
      </w:r>
      <w:r>
        <w:t xml:space="preserve"> opera la logística del medicamento — es capa digital sobre farmacias ya reguladas. El margen </w:t>
      </w:r>
      <w:r>
        <w:rPr>
          <w:b/>
        </w:rPr>
        <w:t>~92%</w:t>
      </w:r>
      <w:r>
        <w:t xml:space="preserve"> es bruto de plataforma </w:t>
      </w:r>
      <w:r>
        <w:rPr>
          <w:b/>
        </w:rPr>
        <w:t>antes</w:t>
      </w:r>
      <w:r>
        <w:t xml:space="preserve"> de waiver comercial y antes de S&amp;M variable completo.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Sensibilidades resumidas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1E2A5A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1080"/>
            <w:shd w:fill="1E2A5A"/>
          </w:tcPr>
          <w:p>
            <w:r>
              <w:rPr>
                <w:b/>
                <w:color w:val="FFFFFF"/>
                <w:sz w:val="20"/>
              </w:rPr>
              <w:t>ARPF</w:t>
            </w:r>
          </w:p>
        </w:tc>
        <w:tc>
          <w:tcPr>
            <w:tcW w:type="dxa" w:w="1080"/>
            <w:shd w:fill="1E2A5A"/>
          </w:tcPr>
          <w:p>
            <w:r>
              <w:rPr>
                <w:b/>
                <w:color w:val="FFFFFF"/>
                <w:sz w:val="20"/>
              </w:rPr>
              <w:t>CAC</w:t>
            </w:r>
          </w:p>
        </w:tc>
        <w:tc>
          <w:tcPr>
            <w:tcW w:type="dxa" w:w="1080"/>
            <w:shd w:fill="1E2A5A"/>
          </w:tcPr>
          <w:p>
            <w:r>
              <w:rPr>
                <w:b/>
                <w:color w:val="FFFFFF"/>
                <w:sz w:val="20"/>
              </w:rPr>
              <w:t>Churn</w:t>
            </w:r>
          </w:p>
        </w:tc>
        <w:tc>
          <w:tcPr>
            <w:tcW w:type="dxa" w:w="1080"/>
            <w:shd w:fill="1E2A5A"/>
          </w:tcPr>
          <w:p>
            <w:r>
              <w:rPr>
                <w:b/>
                <w:color w:val="FFFFFF"/>
                <w:sz w:val="20"/>
              </w:rPr>
              <w:t>LTV</w:t>
            </w:r>
          </w:p>
        </w:tc>
        <w:tc>
          <w:tcPr>
            <w:tcW w:type="dxa" w:w="1080"/>
            <w:shd w:fill="1E2A5A"/>
          </w:tcPr>
          <w:p>
            <w:r>
              <w:rPr>
                <w:b/>
                <w:color w:val="FFFFFF"/>
                <w:sz w:val="20"/>
              </w:rPr>
              <w:t>LTV/CAC</w:t>
            </w:r>
          </w:p>
        </w:tc>
        <w:tc>
          <w:tcPr>
            <w:tcW w:type="dxa" w:w="1080"/>
            <w:shd w:fill="1E2A5A"/>
          </w:tcPr>
          <w:p>
            <w:r>
              <w:rPr>
                <w:b/>
                <w:color w:val="FFFFFF"/>
                <w:sz w:val="20"/>
              </w:rPr>
              <w:t>Break-even (~activas)</w:t>
            </w:r>
          </w:p>
        </w:tc>
        <w:tc>
          <w:tcPr>
            <w:tcW w:type="dxa" w:w="1080"/>
            <w:shd w:fill="1E2A5A"/>
          </w:tcPr>
          <w:p>
            <w:r>
              <w:rPr>
                <w:b/>
                <w:color w:val="FFFFFF"/>
                <w:sz w:val="20"/>
              </w:rPr>
              <w:t>Caja M12 ref.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**Base (P50)**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139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**7,2×**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**~160**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**~40.831**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Pesimista (P10)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35–40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130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437–800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3,4–5,7×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~212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~25.000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Optimista (P90)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1.375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18,3×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~132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~52.000</w:t>
            </w:r>
          </w:p>
        </w:tc>
      </w:tr>
    </w:tbl>
    <w:p/>
    <w:p>
      <w:r/>
      <w:r>
        <w:rPr>
          <w:b/>
        </w:rPr>
        <w:t>Pesimista:</w:t>
      </w:r>
      <w:r>
        <w:t xml:space="preserve"> con ARPF 35 y burn ~8.108, harían falta </w:t>
      </w:r>
      <w:r>
        <w:rPr>
          <w:b/>
        </w:rPr>
        <w:t>~212 activas</w:t>
      </w:r>
      <w:r>
        <w:t xml:space="preserve"> para equilibrio — por encima del plan central. Implicación: más capital, recorte de burn o mejora de ARPF/mix.</w:t>
      </w:r>
    </w:p>
    <w:p>
      <w:pPr>
        <w:pStyle w:val="Heading2"/>
      </w:pPr>
      <w:r>
        <w:t>Cómo se traduce en caja (puente simple)</w:t>
      </w:r>
    </w:p>
    <w:p>
      <w:r>
        <w:t>```</w:t>
      </w:r>
    </w:p>
    <w:p>
      <w:r>
        <w:t>Caja Day-D:                    ~78.153</w:t>
      </w:r>
    </w:p>
    <w:p>
      <w:r>
        <w:t>+ Ingresos año 1:              ~59.968</w:t>
      </w:r>
    </w:p>
    <w:p>
      <w:r>
        <w:t>− Burn año 1 (incl. reserva):  ~97.780  (97.290 + 490)</w:t>
      </w:r>
    </w:p>
    <w:p>
      <w:r>
        <w:t>= Caja M12:                    ~40.831</w:t>
      </w:r>
    </w:p>
    <w:p>
      <w:r>
        <w:t>```</w:t>
      </w:r>
    </w:p>
    <w:p>
      <w:r>
        <w:t xml:space="preserve">La diferencia entre </w:t>
      </w:r>
      <w:r>
        <w:rPr>
          <w:b/>
        </w:rPr>
        <w:t>FCF acumulado −37.322</w:t>
      </w:r>
      <w:r>
        <w:t xml:space="preserve"> y la caída de caja desde Day-D refleja que </w:t>
      </w:r>
      <w:r>
        <w:rPr>
          <w:b/>
        </w:rPr>
        <w:t>Fase 0 ya consumió ~33,8k</w:t>
      </w:r>
      <w:r>
        <w:t xml:space="preserve"> antes de M1 — no es doble conteo si se lee desde el wire total.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¿El ARPF ~50 es creíble en Valencia?</w:t>
      </w:r>
      <w:r>
        <w:t xml:space="preserve"> — Contrastar con cuota 25/40/55 + % GMV que aceptarían farmacias independientes que ya conoces en la red Morr.</w:t>
      </w:r>
    </w:p>
    <w:p>
      <w:r>
        <w:t xml:space="preserve">2. </w:t>
      </w:r>
      <w:r>
        <w:rPr>
          <w:b/>
        </w:rPr>
        <w:t>¿El CAC 139 refleja costo comercial local?</w:t>
      </w:r>
      <w:r>
        <w:t xml:space="preserve"> — Comisiones, visitas, material; si el canal Morr puede reducir fricción de prospección o el costo de la primera visita.</w:t>
      </w:r>
    </w:p>
    <w:p>
      <w:r>
        <w:t xml:space="preserve">3. </w:t>
      </w:r>
      <w:r>
        <w:rPr>
          <w:b/>
        </w:rPr>
        <w:t>Churn 5%</w:t>
      </w:r>
      <w:r>
        <w:t xml:space="preserve"> — ¿Qué haría sticky o frágil a una farmacia en app vs mostrador solo? ¿Hay precedentes en retail/servicios locales que conozcas?</w:t>
      </w:r>
    </w:p>
    <w:p>
      <w:r>
        <w:t xml:space="preserve">4. </w:t>
      </w:r>
      <w:r>
        <w:rPr>
          <w:b/>
        </w:rPr>
        <w:t>Equilibrio ~160 activas / ~159 al M12</w:t>
      </w:r>
      <w:r>
        <w:t xml:space="preserve"> — ¿Es alcanzable en Carabobo en 12 meses con 4 vendedores? (plan central: </w:t>
      </w:r>
      <w:r>
        <w:rPr>
          <w:b/>
        </w:rPr>
        <w:t>185 firmas</w:t>
      </w:r>
      <w:r>
        <w:t xml:space="preserve">, </w:t>
      </w:r>
      <w:r>
        <w:rPr>
          <w:b/>
        </w:rPr>
        <w:t>159 activas</w:t>
      </w:r>
      <w:r>
        <w:t xml:space="preserve"> M12, </w:t>
      </w:r>
      <w:r>
        <w:rPr>
          <w:b/>
        </w:rPr>
        <w:t>~112k</w:t>
      </w:r>
      <w:r>
        <w:t xml:space="preserve"> SAFE Lean).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Cifras en </w:t>
      </w:r>
      <w:r>
        <w:rPr>
          <w:b/>
        </w:rPr>
        <w:t>USD constantes</w:t>
      </w:r>
      <w:r>
        <w:t xml:space="preserve">. ARPF, CAC, LTV y LTV/CAC son </w:t>
      </w:r>
      <w:r>
        <w:rPr>
          <w:b/>
        </w:rPr>
        <w:t>supuestos de modelado</w:t>
      </w:r>
      <w:r>
        <w:t xml:space="preserve"> hasta </w:t>
      </w:r>
      <w:r>
        <w:rPr>
          <w:b/>
        </w:rPr>
        <w:t>≥30 días post-Day-D</w:t>
      </w:r>
      <w:r>
        <w:t xml:space="preserve"> con GMV y mix de tiers medidos.</w:t>
      </w:r>
    </w:p>
    <w:p>
      <w:r>
        <w:t xml:space="preserve">- El </w:t>
      </w:r>
      <w:r>
        <w:rPr>
          <w:b/>
        </w:rPr>
        <w:t>CAC 139</w:t>
      </w:r>
      <w:r>
        <w:t xml:space="preserve"> y el </w:t>
      </w:r>
      <w:r>
        <w:rPr>
          <w:b/>
        </w:rPr>
        <w:t>ARPF ~50</w:t>
      </w:r>
      <w:r>
        <w:t xml:space="preserve"> no deben cambiarse en materiales externos sin decisión explícita del founder.</w:t>
      </w:r>
    </w:p>
    <w:p>
      <w:r>
        <w:t xml:space="preserve">- Margen </w:t>
      </w:r>
      <w:r>
        <w:rPr>
          <w:b/>
        </w:rPr>
        <w:t>~92%</w:t>
      </w:r>
      <w:r>
        <w:t xml:space="preserve"> es bruto de plataforma </w:t>
      </w:r>
      <w:r>
        <w:rPr>
          <w:b/>
        </w:rPr>
        <w:t>antes</w:t>
      </w:r>
      <w:r>
        <w:t xml:space="preserve"> de waiver comercial y antes de S&amp;M variable completo.</w:t>
      </w:r>
    </w:p>
    <w:p>
      <w:r>
        <w:t xml:space="preserve">- Este documento </w:t>
      </w:r>
      <w:r>
        <w:rPr>
          <w:b/>
        </w:rPr>
        <w:t>no sustituye</w:t>
      </w:r>
      <w:r>
        <w:t xml:space="preserve"> asesoría contable, legal ni dictamen regulatorio farmacéutico.</w:t>
      </w:r>
    </w:p>
    <w:p>
      <w:r>
        <w:t xml:space="preserve">- </w:t>
      </w:r>
      <w:r>
        <w:rPr>
          <w:b/>
        </w:rPr>
        <w:t>No es oferta de valores</w:t>
      </w:r>
      <w:r>
        <w:t xml:space="preserve"> ni solicitud de inversión salvo acuerdo aparte.</w:t>
      </w:r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