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Proyección financiera 12 meses — Zonix Pharma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</w:t>
      </w:r>
      <w:r>
        <w:t xml:space="preserve"> salvo que acordemos otra cosa en reunión. Es material para alinear visión y revisar números con alguien que conoce el mercado local.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Escenario </w:t>
      </w:r>
      <w:r>
        <w:rPr>
          <w:b/>
        </w:rPr>
        <w:t>Lean</w:t>
      </w:r>
      <w:r>
        <w:t xml:space="preserve"> (~112k USD de capital, equipo </w:t>
      </w:r>
      <w:r>
        <w:rPr>
          <w:b/>
        </w:rPr>
        <w:t>4 vendedores</w:t>
      </w:r>
      <w:r>
        <w:t>, piloto Carabobo):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 (aprox.)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Capital total (wire T+0)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**~112.000**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**Fase 0** (T+0 → Day-D, 90 días)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**~33.835**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**Caja al Day-D** (inicio mes 1 operativo)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**~78.153**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operativo año 1 (12 meses)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**~97.290**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**Ingresos año 1**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**~59.968**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**Resultado operativo año 1 (FCF)**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**−37.322**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**Caja al cierre mes 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**~40.831**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**Farmacias activas mes 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Equilibrio mensual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**Casi M12** (ingresos ~7.950 vs burn ~7.980)</w:t>
            </w:r>
          </w:p>
        </w:tc>
      </w:tr>
    </w:tbl>
    <w:p/>
    <w:p>
      <w:r/>
      <w:r>
        <w:rPr>
          <w:b/>
        </w:rPr>
        <w:t>En una frase:</w:t>
      </w:r>
      <w:r>
        <w:t xml:space="preserve"> se plantea operar 12 meses tras un arranque de 90 días, quemar </w:t>
      </w:r>
      <w:r>
        <w:rPr>
          <w:b/>
        </w:rPr>
        <w:t>~97k</w:t>
      </w:r>
      <w:r>
        <w:t xml:space="preserve"> en costos operativos, facturar </w:t>
      </w:r>
      <w:r>
        <w:rPr>
          <w:b/>
        </w:rPr>
        <w:t>~60k</w:t>
      </w:r>
      <w:r>
        <w:t xml:space="preserve">, cerrar con </w:t>
      </w:r>
      <w:r>
        <w:rPr>
          <w:b/>
        </w:rPr>
        <w:t>~41k en caja</w:t>
      </w:r>
      <w:r>
        <w:t xml:space="preserve"> y </w:t>
      </w:r>
      <w:r>
        <w:rPr>
          <w:b/>
        </w:rPr>
        <w:t>~159 farmacias activas</w:t>
      </w:r>
      <w:r>
        <w:t xml:space="preserve"> — prácticamente en equilibrio mensual al final del año.</w:t>
      </w:r>
    </w:p>
    <w:p>
      <w:r/>
      <w:r>
        <w:rPr>
          <w:b/>
        </w:rPr>
        <w:t>Convención de tiempo:</w:t>
      </w:r>
      <w:r>
        <w:t xml:space="preserve"> </w:t>
      </w:r>
      <w:r>
        <w:rPr>
          <w:b/>
        </w:rPr>
        <w:t>T+0</w:t>
      </w:r>
      <w:r>
        <w:t xml:space="preserve"> = llegada del capital. </w:t>
      </w:r>
      <w:r>
        <w:rPr>
          <w:b/>
        </w:rPr>
        <w:t>Day-D</w:t>
      </w:r>
      <w:r>
        <w:t xml:space="preserve"> = </w:t>
      </w:r>
      <w:r>
        <w:rPr>
          <w:b/>
        </w:rPr>
        <w:t>T+90</w:t>
      </w:r>
      <w:r>
        <w:t xml:space="preserve"> = go-live del piloto en app = </w:t>
      </w:r>
      <w:r>
        <w:rPr>
          <w:b/>
        </w:rPr>
        <w:t>mes 1</w:t>
      </w:r>
      <w:r>
        <w:t xml:space="preserve"> de la tabla siguiente.</w:t>
      </w:r>
    </w:p>
    <w:p>
      <w:r/>
      <w:r>
        <w:rPr>
          <w:b/>
        </w:rPr>
        <w:t>Puente con unit economics:</w:t>
      </w:r>
      <w:r>
        <w:t xml:space="preserve"> con </w:t>
      </w:r>
      <w:r>
        <w:rPr>
          <w:b/>
        </w:rPr>
        <w:t>ARPF ~50 USD/mes</w:t>
      </w:r>
      <w:r>
        <w:t xml:space="preserve">, </w:t>
      </w:r>
      <w:r>
        <w:rPr>
          <w:b/>
        </w:rPr>
        <w:t>CAC ~139 USD</w:t>
      </w:r>
      <w:r>
        <w:t xml:space="preserve"> y </w:t>
      </w:r>
      <w:r>
        <w:rPr>
          <w:b/>
        </w:rPr>
        <w:t>LTV/CAC ~7,2×</w:t>
      </w:r>
      <w:r>
        <w:t xml:space="preserve">, cada farmacia nueva debería pagarse sola en </w:t>
      </w:r>
      <w:r>
        <w:rPr>
          <w:b/>
        </w:rPr>
        <w:t>~2,8 meses</w:t>
      </w:r>
      <w:r>
        <w:t xml:space="preserve"> — la proyección asume que la curva comercial sostiene ese ritmo.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Cómo leer este documento</w:t>
      </w:r>
    </w:p>
    <w:p>
      <w:r>
        <w:t xml:space="preserve">Gabriel, este archivo no es un Excel ni un modelo contable. Es la </w:t>
      </w:r>
      <w:r>
        <w:rPr>
          <w:b/>
        </w:rPr>
        <w:t>traducción en lenguaje de negocio</w:t>
      </w:r>
      <w:r>
        <w:t xml:space="preserve"> de tres piezas del pack interno: presupuesto de 12 meses, unit economics y plan comercial. Los números ancla son los del escenario </w:t>
      </w:r>
      <w:r>
        <w:rPr>
          <w:b/>
        </w:rPr>
        <w:t>Lean</w:t>
      </w:r>
      <w:r>
        <w:t xml:space="preserve">; al final verás </w:t>
      </w:r>
      <w:r>
        <w:rPr>
          <w:b/>
        </w:rPr>
        <w:t>Lean+</w:t>
      </w:r>
      <w:r>
        <w:t xml:space="preserve">, </w:t>
      </w:r>
      <w:r>
        <w:rPr>
          <w:b/>
        </w:rPr>
        <w:t>pesimista</w:t>
      </w:r>
      <w:r>
        <w:t xml:space="preserve"> y </w:t>
      </w:r>
      <w:r>
        <w:rPr>
          <w:b/>
        </w:rPr>
        <w:t>optimista</w:t>
      </w:r>
      <w:r>
        <w:t xml:space="preserve"> para discutir qué pasa si Carabobo responde mejor o peor de lo esperado.</w:t>
      </w:r>
    </w:p>
    <w:p>
      <w:pPr>
        <w:shd w:fill="FFF3CD"/>
      </w:pPr>
      <w:r>
        <w:rPr>
          <w:i/>
        </w:rPr>
        <w:t>**Regla de oro:** no citar cifras de años 2–5 en una conversación de piloto sin aclarar que son referencia largo plazo, no compromiso.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Fase 0 — antes del mes 1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Sub-fase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Gasto (USD)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Qué se paga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**0a**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T+0 a T+30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**~17.813**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One-shots (~14.208) + burn parcial mes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**0b**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T+30 a T+60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**8.011**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Nómina completa, HQ, stack digital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**0c**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T+60 a T+90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**8.011**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Onboarding farmacias, pruebas delivery, pre-Day-D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**Total Fase 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 días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**~33.835**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**Caja al Day-D**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**~78.153**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*(112.000 − 33.835)*</w:t>
            </w:r>
          </w:p>
        </w:tc>
      </w:tr>
    </w:tbl>
    <w:p/>
    <w:p>
      <w:pPr>
        <w:pStyle w:val="Heading2"/>
      </w:pPr>
      <w:r>
        <w:t>Desglose de one-shots Fase 0 (~14.208 USD)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USD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Constitución C.A. + trámites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~5.050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Denominación, mercantil, RIF, cuenta banco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Intro mercado (web, brochures, tablets, video B2B)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~3.808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Material que llevan los 4 vendedores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Oficina + equipos (depósito, 4 PCs)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~5.350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HQ tipo casa San Diego / Bolívar Norte</w:t>
            </w:r>
          </w:p>
        </w:tc>
      </w:tr>
    </w:tbl>
    <w:p/>
    <w:p>
      <w:r>
        <w:t xml:space="preserve">Incluye constitución, materiales de mercado, equipos, oficina tipo casa y nómina parcial del equipo mientras se prepara el lanzamiento. </w:t>
      </w:r>
      <w:r>
        <w:rPr>
          <w:b/>
        </w:rPr>
        <w:t>No</w:t>
      </w:r>
      <w:r>
        <w:t xml:space="preserve"> incluye comisiones variables por firma (van aparte del burn fijo).</w:t>
      </w:r>
    </w:p>
    <w:p>
      <w:pPr>
        <w:pStyle w:val="Heading2"/>
      </w:pPr>
      <w:r>
        <w:t>Escenario: Fase 0 se alarga 30 días</w:t>
      </w:r>
    </w:p>
    <w:p>
      <w:r>
        <w:t xml:space="preserve">Si legal o onboarding se retrasa y el Day-D cae en </w:t>
      </w:r>
      <w:r>
        <w:rPr>
          <w:b/>
        </w:rPr>
        <w:t>T+120</w:t>
      </w:r>
      <w:r>
        <w:t xml:space="preserve"> en lugar de T+90: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Efecto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Impacto estimado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extra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+**~8.011** (un mes más de nómina fija)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Caja al Day-D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**~70.142** (vs 78.153)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Menos colchón antes del punto más bajo de caja (M6 ~48k)</w:t>
            </w:r>
          </w:p>
        </w:tc>
      </w:tr>
    </w:tbl>
    <w:p/>
    <w:p>
      <w:r/>
      <w:r>
        <w:rPr>
          <w:b/>
        </w:rPr>
        <w:t>Mitigación:</w:t>
      </w:r>
      <w:r>
        <w:t xml:space="preserve"> recortar Meta pre-Day-D, posponer valla, bridge founder trimestral si la demora es por causas externas (registro, tiendas app).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Mes a mes — año 1 (escenario Lean central)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Firmadas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Ingresos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Burn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FCF mes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FCF acumulado</w:t>
            </w:r>
          </w:p>
        </w:tc>
        <w:tc>
          <w:tcPr>
            <w:tcW w:type="dxa" w:w="1080"/>
            <w:shd w:fill="1E2A5A"/>
          </w:tcPr>
          <w:p>
            <w:r>
              <w:rPr>
                <w:b/>
                <w:color w:val="FFFFFF"/>
                <w:sz w:val="20"/>
              </w:rPr>
              <w:t>Gap vs equilibrio*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1.500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−6.511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−6.511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−6.511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2.168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−5.843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−12.354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−5.843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3.100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−5.247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−17.601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−5.247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3.700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−4.647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−22.248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−4.647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4.250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−4.097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−26.345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−4.097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4.850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−3.497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−29.842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−3.497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5.400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−2.580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−32.422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−2.580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5.950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−2.030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−34.452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−2.030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6.500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−1.480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−35.932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−1.480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7.050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−930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−36.862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−930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7.550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−430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−37.292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−430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−30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**−37.322**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**−30**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**Total año 1**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**185**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**159** *(M12)*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**59.968**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**97.290**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**−37.322**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t>*Gap vs equilibrio = ingresos − burn del mes (negativo = quema neta).</w:t>
      </w:r>
    </w:p>
    <w:p>
      <w:r/>
      <w:r>
        <w:rPr>
          <w:b/>
        </w:rPr>
        <w:t>Lectura mes a mes:</w:t>
      </w:r>
      <w:r/>
    </w:p>
    <w:p>
      <w:r>
        <w:t xml:space="preserve">- </w:t>
      </w:r>
      <w:r>
        <w:rPr>
          <w:b/>
        </w:rPr>
        <w:t>M1–M3:</w:t>
      </w:r>
      <w:r>
        <w:t xml:space="preserve"> el gap negativo es grande porque hay pocas activas (~40–62) pero burn pleno (~8k). Es normal en marketplace bilateral: primero oferta, luego demanda.</w:t>
      </w:r>
    </w:p>
    <w:p>
      <w:r>
        <w:t xml:space="preserve">- </w:t>
      </w:r>
      <w:r>
        <w:rPr>
          <w:b/>
        </w:rPr>
        <w:t>M4–M6:</w:t>
      </w:r>
      <w:r>
        <w:t xml:space="preserve"> la curva mejora ~500 USD/mes en gap; </w:t>
      </w:r>
      <w:r>
        <w:rPr>
          <w:b/>
        </w:rPr>
        <w:t>M6</w:t>
      </w:r>
      <w:r>
        <w:t xml:space="preserve"> es el checkpoint del piloto (~97 activas, revenue ~4.850).</w:t>
      </w:r>
    </w:p>
    <w:p>
      <w:r>
        <w:t xml:space="preserve">- </w:t>
      </w:r>
      <w:r>
        <w:rPr>
          <w:b/>
        </w:rPr>
        <w:t>M7–M12:</w:t>
      </w:r>
      <w:r>
        <w:t xml:space="preserve"> burn baja a </w:t>
      </w:r>
      <w:r>
        <w:rPr>
          <w:b/>
        </w:rPr>
        <w:t>7.980</w:t>
      </w:r>
      <w:r>
        <w:t xml:space="preserve"> (tramo C del presupuesto); ingresos suben por base instalada. En </w:t>
      </w:r>
      <w:r>
        <w:rPr>
          <w:b/>
        </w:rPr>
        <w:t>M12</w:t>
      </w:r>
      <w:r>
        <w:t xml:space="preserve"> el gap es </w:t>
      </w:r>
      <w:r>
        <w:rPr>
          <w:b/>
        </w:rPr>
        <w:t>~30 USD</w:t>
      </w:r>
      <w:r>
        <w:t xml:space="preserve"> — esencialmente </w:t>
      </w:r>
      <w:r>
        <w:rPr>
          <w:b/>
        </w:rPr>
        <w:t>empate</w:t>
      </w:r>
      <w:r>
        <w:t>.</w:t>
      </w:r>
    </w:p>
    <w:p>
      <w:pPr>
        <w:pStyle w:val="Heading2"/>
      </w:pPr>
      <w:r>
        <w:t>Ritmo comercial implícito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 Lean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Firmas brutas año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Firmas netas (tras churn 5%)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~159 activas M12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Promedio firmas/mes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~15,4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Firmas por vendedor/mes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~3,9 *(185 ÷ 4 ÷ 12)*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Activas necesarias para BE mensual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~160 *(con ARPF 50 y burn 7.980)*</w:t>
            </w:r>
          </w:p>
        </w:tc>
      </w:tr>
    </w:tbl>
    <w:p/>
    <w:p>
      <w:r>
        <w:t xml:space="preserve">Con </w:t>
      </w:r>
      <w:r>
        <w:rPr>
          <w:b/>
        </w:rPr>
        <w:t>4 vendedores × ~10 visitas/día × ~20 días hábiles ≈ 800 visitas/mes</w:t>
      </w:r>
      <w:r>
        <w:t xml:space="preserve">, la conversión visita→firma debe rondar </w:t>
      </w:r>
      <w:r>
        <w:rPr>
          <w:b/>
        </w:rPr>
        <w:t>~2%</w:t>
      </w:r>
      <w:r>
        <w:t xml:space="preserve"> sostenido — duro pero plausible con dueño independiente y propuesta clara.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Caja mes a mes (después del Day-D)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Caja inicio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+ Ingresos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− Burn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**Caja fin**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% capital inicial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**Day-D (M1)**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78.153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71.642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64%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71.642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2.168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65.799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65.799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60.552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60.552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3.700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55.905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55.905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4.250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51.808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51.808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4.850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**48.311**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**43%**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48.311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5.400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45.731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45.731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5.950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43.701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43.701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42.221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42.221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7.050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41.291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41.291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7.550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40.861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40.861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**40.831**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**36%**</w:t>
            </w:r>
          </w:p>
        </w:tc>
      </w:tr>
    </w:tbl>
    <w:p/>
    <w:p>
      <w:r/>
      <w:r>
        <w:rPr>
          <w:b/>
        </w:rPr>
        <w:t>Punto más bajo de caja:</w:t>
      </w:r>
      <w:r>
        <w:t xml:space="preserve"> </w:t>
      </w:r>
      <w:r>
        <w:rPr>
          <w:b/>
        </w:rPr>
        <w:t>~48.311 USD en M6</w:t>
      </w:r>
      <w:r>
        <w:t xml:space="preserve"> — el mes en que evaluamos si el piloto cumple Definition of Done. Si la captación va 20% más lenta, la caja M6 cae a ~</w:t>
      </w:r>
      <w:r>
        <w:rPr>
          <w:b/>
        </w:rPr>
        <w:t>44k</w:t>
      </w:r>
      <w:r>
        <w:t xml:space="preserve"> (ver sensibilidad abajo).</w:t>
      </w:r>
    </w:p>
    <w:p>
      <w:r>
        <w:t xml:space="preserve">Al cierre M12 queda </w:t>
      </w:r>
      <w:r>
        <w:rPr>
          <w:b/>
        </w:rPr>
        <w:t>~36%</w:t>
      </w:r>
      <w:r>
        <w:t xml:space="preserve"> del capital inicial en caja (~40.831 de ~112.000).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Hipótesis clave y sensibilidad</w:t>
      </w:r>
    </w:p>
    <w:p>
      <w:pPr>
        <w:pStyle w:val="Heading2"/>
      </w:pPr>
      <w:r>
        <w:t>Supuestos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Supuesto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Fuente lógica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Churn mensual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**5%**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Independientes sin contrato largo; objetivo post-piloto ≤4%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Firmas brutas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**~185**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vendedores, curva ×1,0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ARPF placeholder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50/mes**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Mix tiers 25/40/55 + % GMV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 headline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139**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fijo + comisión marginal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**LTV/CAC**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**~7,2×**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LTV 1.000 ÷ CAC 139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Burn por tramos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8.011 (M1–2) → 8.347 (M3–6) → 7.980 (M7–12)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Presupuesto Lean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One-shots Fase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**~14.208**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Legal, PCs, video B2B,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Waiver comercial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**No modelado**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Cuota 0 primeras 10 farmacias reduciría ingresos M1–M3</w:t>
            </w:r>
          </w:p>
        </w:tc>
      </w:tr>
    </w:tbl>
    <w:p/>
    <w:p>
      <w:pPr>
        <w:pStyle w:val="Heading2"/>
      </w:pPr>
      <w:r>
        <w:t>Sensibilidad ARPF (M12, activas fijas ~159)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ARPF/mes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Ingresos M12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Gap vs burn 7.980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LTV (20 meses)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LTV/CAC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**41** (pesimista)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~6.519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−1.461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**~5,9×**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**50** (base)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**7.950**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**−30**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**~7,2×**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**53** (+6%)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~8.427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+447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**~7,6×**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**55** (optimista mix)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~8.745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+765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**~7,9×**</w:t>
            </w:r>
          </w:p>
        </w:tc>
      </w:tr>
    </w:tbl>
    <w:p/>
    <w:p>
      <w:r>
        <w:t xml:space="preserve">Subir ARPF </w:t>
      </w:r>
      <w:r>
        <w:rPr>
          <w:b/>
        </w:rPr>
        <w:t>3 USD</w:t>
      </w:r>
      <w:r>
        <w:t xml:space="preserve"> (de 50 a 53) sin acelerar firmas puede adelantar equilibrio mensual a </w:t>
      </w:r>
      <w:r>
        <w:rPr>
          <w:b/>
        </w:rPr>
        <w:t>~M11</w:t>
      </w:r>
      <w:r>
        <w:t xml:space="preserve"> — útil si el mom-test de pricing confirma disposición a pagar Pro.</w:t>
      </w:r>
    </w:p>
    <w:p>
      <w:pPr>
        <w:pStyle w:val="Heading2"/>
      </w:pPr>
      <w:r>
        <w:t>Sensibilidad churn (M12, firmas brutas 185 fijas)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Churn mensual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Ingresos M12 (ARPF 50)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**3%**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~8.750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Mejor retención → BE desde M11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**5%** (base)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**~7.950**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Caso central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**7%**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~7.250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Gap M12 ~−730; revisar onboarding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**10%**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~6.250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Piloto en riesgo; pivot B2B antes M6</w:t>
            </w:r>
          </w:p>
        </w:tc>
      </w:tr>
    </w:tbl>
    <w:p/>
    <w:p>
      <w:r>
        <w:t xml:space="preserve">Churn es la palanca más peligrosa: una farmacia que firma y no activa catálogo cuenta como “activa” un mes y luego se va — por eso el plan comercial prioriza </w:t>
      </w:r>
      <w:r>
        <w:rPr>
          <w:b/>
        </w:rPr>
        <w:t>activación</w:t>
      </w:r>
      <w:r>
        <w:t>, no solo contrato.</w:t>
      </w:r>
    </w:p>
    <w:p>
      <w:pPr>
        <w:pStyle w:val="Heading2"/>
      </w:pPr>
      <w:r>
        <w:t>Sensibilidad velocidad comercial (churn 5%, ARPF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Firmas Y1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Ingresos Y1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Caja M12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Equilibrio mensual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**P10 pesimista**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~140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~120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~48.000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**~25.000**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 M12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**P50 Lean central**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**~185**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**59.968**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**~40.831**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**Casi M12**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**Lean+ (×1,15)**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**~212**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**~183**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**~68.962**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**~49.825**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**Desde M10**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**P90 optimista**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~72.000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**~52.000**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M9–M10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Escenario Lean+ (mismo capital, curva +15%)</w:t>
      </w:r>
    </w:p>
    <w:p>
      <w:r>
        <w:t xml:space="preserve">No es un SAFE distinto: </w:t>
      </w:r>
      <w:r>
        <w:rPr>
          <w:b/>
        </w:rPr>
        <w:t>mismo ~112k</w:t>
      </w:r>
      <w:r>
        <w:t xml:space="preserve"> y mismo burn. Solo acelera firmas/activas </w:t>
      </w:r>
      <w:r>
        <w:rPr>
          <w:b/>
        </w:rPr>
        <w:t>×1,15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Lean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Lean+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~112k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~112k *(igual)*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Firmas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Activas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~183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Ingresos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~59.968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~68.962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FCF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−37.322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−28.328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~40.831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~49.825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Equilibrio mensual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Casi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**Desde M10**</w:t>
            </w:r>
          </w:p>
        </w:tc>
      </w:tr>
    </w:tbl>
    <w:p/>
    <w:p>
      <w:pPr>
        <w:pStyle w:val="Heading2"/>
      </w:pPr>
      <w:r>
        <w:t>Lean+ mes a mes (ingresos y gap)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Activas Lean+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Burn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Gap mensual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Gap Lean (ref.)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1.725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−6.286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−6.511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2.493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−5.518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−5.843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3.565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−4.782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−5.247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4.255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−4.092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−4.647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4.888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−3.459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−4.097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5.578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−2.769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−3.497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6.210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−1.770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−2.580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6.842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−1.138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−2.030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7.475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−505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−1.480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**8.107**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**+127**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−930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**8.682**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**+702**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−430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**9.142**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**+1.162**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−30</w:t>
            </w:r>
          </w:p>
        </w:tc>
      </w:tr>
    </w:tbl>
    <w:p/>
    <w:p>
      <w:r>
        <w:t xml:space="preserve">Útil si el canal comercial (incluida red Morr o referidos) rinde </w:t>
      </w:r>
      <w:r>
        <w:rPr>
          <w:b/>
        </w:rPr>
        <w:t>15% más</w:t>
      </w:r>
      <w:r>
        <w:t xml:space="preserve"> sin subir headcount a 6 vendedores. Requiere validar censo Carabobo antes de prometerlo externamente.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Otros tiers (solo contexto — no ask principal)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Capital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Burn prom./mes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Cuándo tiene sentido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**Lean**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**~112k**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~8.108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Bootstrap 4× Sales Carabobo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**Lean+**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~112k *(operativo)*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~8.108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Mismo $, curva comercial +15%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**Base**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~157k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~10.898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 marketing, coordinador partners, dev mid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**Growth**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~187k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~12.698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 dev senior, radio, colchón regulatorio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**Blitz** *(stretch)*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~185k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~11.998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6× Sales, curva ×1,5 — solo tras censo validado</w:t>
            </w:r>
          </w:p>
        </w:tc>
      </w:tr>
    </w:tbl>
    <w:p/>
    <w:p>
      <w:r>
        <w:t xml:space="preserve">Gabriel: para la conversión con Morr, el ancla es </w:t>
      </w:r>
      <w:r>
        <w:rPr>
          <w:b/>
        </w:rPr>
        <w:t>Lean ~112k</w:t>
      </w:r>
      <w:r>
        <w:t>. Base/Growth son “qué pasa si queremos más colchón sin cambiar la meta comercial de ~159 activas”.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Puente ingresos ↔ unit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ARPF implícito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Check ARPF×activas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4.850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 × 50 = 4.850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7.950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159 × 50 = 7.950 ✓</w:t>
            </w:r>
          </w:p>
        </w:tc>
      </w:tr>
    </w:tbl>
    <w:p/>
    <w:p>
      <w:r>
        <w:t xml:space="preserve">Si el GMV real por farmacia es bajo (muchas en tier Basic 25 USD), el ARPF efectivo cae a </w:t>
      </w:r>
      <w:r>
        <w:rPr>
          <w:b/>
        </w:rPr>
        <w:t>~41</w:t>
      </w:r>
      <w:r>
        <w:t xml:space="preserve"> y el LTV/CAC baja a </w:t>
      </w:r>
      <w:r>
        <w:rPr>
          <w:b/>
        </w:rPr>
        <w:t>~5,9×</w:t>
      </w:r>
      <w:r>
        <w:t xml:space="preserve"> — aún aceptable (&gt;3×), pero el equilibrio mensual se aleja </w:t>
      </w:r>
      <w:r>
        <w:rPr>
          <w:b/>
        </w:rPr>
        <w:t>~2–3 meses</w:t>
      </w:r>
      <w:r>
        <w:t>.</w:t>
      </w:r>
    </w:p>
    <w:p>
      <w:r/>
      <w:r>
        <w:rPr>
          <w:b/>
        </w:rPr>
        <w:t>Payback CAC:</w:t>
      </w:r>
      <w:r>
        <w:t xml:space="preserve"> con </w:t>
      </w:r>
      <w:r>
        <w:rPr>
          <w:b/>
        </w:rPr>
        <w:t>139 ÷ 50 ≈ 2,8 meses</w:t>
      </w:r>
      <w:r>
        <w:t>, una farmacia firmada en M1 debería cubrir su costo de adquisición antes de M4 — si churn no la expulsa antes.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Mitigaciones si la curva va más lenta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Señal (cuándo)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Umbral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 M6 &lt; ~48.311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 6 post-Day-D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Recortar Meta 50%; pausar valla; bridge founder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&lt; 8 firmas/mes × 2 meses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M2–M3 típico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Revisar script comercial; mom-test pricing con dueños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 &gt; 139 +20% (~167)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Bajar comisiones variables; foco referidos farmacia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Churn &gt; 7% dos meses seguidos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M4+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Auditoría onboarding; CS dedicado a activación catálogo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Gap M12 persistente &gt; −500/mes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M10–M12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Lean+ (curva ×1,15), ARPF ~53, tier Base ~157k, o bridge trimestral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ARPF medido &lt; 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Revisar mix tiers; no escalar Meta B2C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Años 2 a 5 (solo contexto — no ancla pre-seed)</w:t>
      </w:r>
    </w:p>
    <w:p>
      <w:r/>
      <w:r>
        <w:rPr>
          <w:b/>
        </w:rPr>
        <w:t>No usar estas cifras en un pitch de ronda actual</w:t>
      </w:r>
      <w:r>
        <w:t xml:space="preserve"> sin disclaimer y recalibración con datos reales del piloto.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Horizonte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Referencia conservadora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**Año 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Ingresos **~96k–108k/año**; ~220 farmacias activas al cierre; burn escala si se activa tier Base/Growth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**Año 3**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**~180k–204k/año** sin Serie 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**Años 4–5**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Expansión geográfica y posible Serie A/B — cifras ilustrativas solo tras GMV medido</w:t>
            </w:r>
          </w:p>
        </w:tc>
      </w:tr>
    </w:tbl>
    <w:p/>
    <w:p>
      <w:r>
        <w:t xml:space="preserve">El foco del pack para Gabriel es </w:t>
      </w:r>
      <w:r>
        <w:rPr>
          <w:b/>
        </w:rPr>
        <w:t>Fase 0 + 12 meses Lean</w:t>
      </w:r>
      <w:r>
        <w:t xml:space="preserve">: capital </w:t>
      </w:r>
      <w:r>
        <w:rPr>
          <w:b/>
        </w:rPr>
        <w:t>112k</w:t>
      </w:r>
      <w:r>
        <w:t xml:space="preserve">, Fase 0 </w:t>
      </w:r>
      <w:r>
        <w:rPr>
          <w:b/>
        </w:rPr>
        <w:t>33.835</w:t>
      </w:r>
      <w:r>
        <w:t xml:space="preserve">, caja Day-D </w:t>
      </w:r>
      <w:r>
        <w:rPr>
          <w:b/>
        </w:rPr>
        <w:t>78.153</w:t>
      </w:r>
      <w:r>
        <w:t xml:space="preserve">, cierre </w:t>
      </w:r>
      <w:r>
        <w:rPr>
          <w:b/>
        </w:rPr>
        <w:t>40.831</w:t>
      </w:r>
      <w:r>
        <w:t xml:space="preserve"> con </w:t>
      </w:r>
      <w:r>
        <w:rPr>
          <w:b/>
        </w:rPr>
        <w:t>159 activas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¿La curva de 185 firmas / 159 activas es realista en Carabobo en 12 meses?</w:t>
      </w:r>
      <w:r>
        <w:t xml:space="preserve"> Tu lectura del mercado independiente vs cadena — ¿800 visitas/mes por vendedor es factible o optimista?</w:t>
      </w:r>
    </w:p>
    <w:p>
      <w:r>
        <w:t xml:space="preserve">2. </w:t>
      </w:r>
      <w:r>
        <w:rPr>
          <w:b/>
        </w:rPr>
        <w:t>Punto más bajo de caja (~48k en M6):</w:t>
      </w:r>
      <w:r>
        <w:t xml:space="preserve"> ¿Hay colchón suficiente si el verano, la economía local o un retraso legal empujan el Day-D 30 días?</w:t>
      </w:r>
    </w:p>
    <w:p>
      <w:r>
        <w:t xml:space="preserve">3. </w:t>
      </w:r>
      <w:r>
        <w:rPr>
          <w:b/>
        </w:rPr>
        <w:t>Sensibilidad churn 5% vs 7%:</w:t>
      </w:r>
      <w:r>
        <w:t xml:space="preserve"> ¿Qué tasa de baja de farmacias independientes has visto en proyectos digitales B2B locales?</w:t>
      </w:r>
    </w:p>
    <w:p>
      <w:r>
        <w:t xml:space="preserve">4. </w:t>
      </w:r>
      <w:r>
        <w:rPr>
          <w:b/>
        </w:rPr>
        <w:t>Lean vs Lean+:</w:t>
      </w:r>
      <w:r>
        <w:t xml:space="preserve"> ¿Prefieres plan conservador (casi BE en M12) o stretch operativo (+15% firmas, BE desde M10) sin pedir más capital?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Proyección en </w:t>
      </w:r>
      <w:r>
        <w:rPr>
          <w:b/>
        </w:rPr>
        <w:t>USD constantes</w:t>
      </w:r>
      <w:r>
        <w:t xml:space="preserve"> con buffer de inflación VE (~20%) ya embebido en contingencia mensual — no es fila aparte.</w:t>
      </w:r>
    </w:p>
    <w:p>
      <w:r>
        <w:t xml:space="preserve">- Tabla mes a mes </w:t>
      </w:r>
      <w:r>
        <w:rPr>
          <w:b/>
        </w:rPr>
        <w:t>sin waiver</w:t>
      </w:r>
      <w:r>
        <w:t xml:space="preserve"> comercial (cuota 0 primeras 10 farmacias). Si se activa, ingresos reales serían menores al inicio.</w:t>
      </w:r>
    </w:p>
    <w:p>
      <w:r>
        <w:t xml:space="preserve">- </w:t>
      </w:r>
      <w:r>
        <w:rPr>
          <w:b/>
        </w:rPr>
        <w:t>ARPF ~50</w:t>
      </w:r>
      <w:r>
        <w:t xml:space="preserve"> y </w:t>
      </w:r>
      <w:r>
        <w:rPr>
          <w:b/>
        </w:rPr>
        <w:t>LTV/CAC ~7,2×</w:t>
      </w:r>
      <w:r>
        <w:t xml:space="preserve"> son placeholders hasta GMV piloto; recalcular con datos M3–M6.</w:t>
      </w:r>
    </w:p>
    <w:p>
      <w:r>
        <w:t xml:space="preserve">- Años 2–5 son </w:t>
      </w:r>
      <w:r>
        <w:rPr>
          <w:b/>
        </w:rPr>
        <w:t>referencia largo plazo</w:t>
      </w:r>
      <w:r>
        <w:t xml:space="preserve"> — no ancla pre-seed ni due diligence sin GMV piloto.</w:t>
      </w:r>
    </w:p>
    <w:p>
      <w:r>
        <w:t xml:space="preserve">- </w:t>
      </w:r>
      <w:r>
        <w:rPr>
          <w:b/>
        </w:rPr>
        <w:t>No sustituye</w:t>
      </w:r>
      <w:r>
        <w:t xml:space="preserve"> modelo contable auditado ni asesoría financiera profesional.</w:t>
      </w:r>
    </w:p>
    <w:p>
      <w:r>
        <w:t xml:space="preserve">- </w:t>
      </w:r>
      <w:r>
        <w:rPr>
          <w:b/>
        </w:rPr>
        <w:t>No es oferta de valores</w:t>
      </w:r>
      <w:r>
        <w:t xml:space="preserve"> ni solicitud de inversión salvo acuerdo aparte.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