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Proyección financiera 12 meses — Zonix Pharma</w:t>
      </w:r>
    </w:p>
    <w:p>
      <w:r/>
      <w:r>
        <w:rPr>
          <w:b/>
        </w:rPr>
        <w:t>Para:</w:t>
      </w:r>
      <w:r>
        <w:t xml:space="preserve"> Gabriel Barrios — Gerente de Consultoría, Grupo Morr (Valencia, Venezuela)  </w:t>
      </w:r>
    </w:p>
    <w:p>
      <w:r/>
      <w:r>
        <w:rPr>
          <w:b/>
        </w:rPr>
        <w:t>De:</w:t>
      </w:r>
      <w:r>
        <w:t xml:space="preserve"> Abrahan Pulido — Founder / CEO / CTO, Zonix Pharma  </w:t>
      </w:r>
    </w:p>
    <w:p>
      <w:r/>
      <w:r>
        <w:rPr>
          <w:b/>
        </w:rPr>
        <w:t>Fecha:</w:t>
      </w:r>
      <w:r>
        <w:t xml:space="preserve"> junio 2026</w:t>
      </w:r>
    </w:p>
    <w:p>
      <w:r/>
      <w:r>
        <w:rPr>
          <w:b/>
        </w:rPr>
        <w:t>No es una solicitud de inversión</w:t>
      </w:r>
      <w:r>
        <w:t xml:space="preserve"> salvo que acordemos otra cosa en reunión. Es material para alinear visión y revisar números con alguien que conoce el mercado local.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En 60 segundos</w:t>
      </w:r>
    </w:p>
    <w:p>
      <w:r>
        <w:t xml:space="preserve">Escenario </w:t>
      </w:r>
      <w:r>
        <w:rPr>
          <w:b/>
        </w:rPr>
        <w:t>Lean</w:t>
      </w:r>
      <w:r>
        <w:t xml:space="preserve"> (~112k USD de capital, equipo </w:t>
      </w:r>
      <w:r>
        <w:rPr>
          <w:b/>
        </w:rPr>
        <w:t>4 vendedores</w:t>
      </w:r>
      <w:r>
        <w:t>, piloto Carabobo):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USD (aprox.)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Capital total (wire T+0)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**~112.000**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**Fase 0** (T+0 → Day-D, 90 días)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**~33.835**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**Caja al Day-D** (inicio mes 1 operativo)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**~78.153**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Burn operativo año 1 (12 meses)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**~97.290**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**Ingresos año 1**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**~59.968**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**Resultado operativo año 1 (FCF)**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**−37.322**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**Caja al cierre mes 12**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**~40.831**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**Farmacias activas mes 12**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**~159**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Equilibrio mensual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**Casi M12** (ingresos ~7.950 vs burn ~7.980)</w:t>
            </w:r>
          </w:p>
        </w:tc>
      </w:tr>
    </w:tbl>
    <w:p/>
    <w:p>
      <w:r/>
      <w:r>
        <w:rPr>
          <w:b/>
        </w:rPr>
        <w:t>En una frase:</w:t>
      </w:r>
      <w:r>
        <w:t xml:space="preserve"> se plantea operar 12 meses tras un arranque de 90 días, quemar </w:t>
      </w:r>
      <w:r>
        <w:rPr>
          <w:b/>
        </w:rPr>
        <w:t>~97k</w:t>
      </w:r>
      <w:r>
        <w:t xml:space="preserve"> en costos operativos, facturar </w:t>
      </w:r>
      <w:r>
        <w:rPr>
          <w:b/>
        </w:rPr>
        <w:t>~60k</w:t>
      </w:r>
      <w:r>
        <w:t xml:space="preserve">, cerrar con </w:t>
      </w:r>
      <w:r>
        <w:rPr>
          <w:b/>
        </w:rPr>
        <w:t>~41k en caja</w:t>
      </w:r>
      <w:r>
        <w:t xml:space="preserve"> y </w:t>
      </w:r>
      <w:r>
        <w:rPr>
          <w:b/>
        </w:rPr>
        <w:t>~159 farmacias activas</w:t>
      </w:r>
      <w:r>
        <w:t xml:space="preserve"> — prácticamente en equilibrio mensual al final del año.</w:t>
      </w:r>
    </w:p>
    <w:p>
      <w:r/>
      <w:r>
        <w:rPr>
          <w:b/>
        </w:rPr>
        <w:t>Convención de tiempo:</w:t>
      </w:r>
      <w:r>
        <w:t xml:space="preserve"> </w:t>
      </w:r>
      <w:r>
        <w:rPr>
          <w:b/>
        </w:rPr>
        <w:t>T+0</w:t>
      </w:r>
      <w:r>
        <w:t xml:space="preserve"> = llegada del capital. </w:t>
      </w:r>
      <w:r>
        <w:rPr>
          <w:b/>
        </w:rPr>
        <w:t>Day-D</w:t>
      </w:r>
      <w:r>
        <w:t xml:space="preserve"> = </w:t>
      </w:r>
      <w:r>
        <w:rPr>
          <w:b/>
        </w:rPr>
        <w:t>T+90</w:t>
      </w:r>
      <w:r>
        <w:t xml:space="preserve"> = go-live del piloto en app = </w:t>
      </w:r>
      <w:r>
        <w:rPr>
          <w:b/>
        </w:rPr>
        <w:t>mes 1</w:t>
      </w:r>
      <w:r>
        <w:t xml:space="preserve"> de la tabla siguiente.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Fase 0 — antes del mes 1 operativo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Sub-fase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Período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Gasto (USD)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0a — legal, intro, burn parcial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T+0 a T+30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~17.813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T+30 a T+60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8.011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0c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T+60 a T+90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8.011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**Total Fase 0**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90 días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**~33.835**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**Caja al Day-D**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**~78.153** *(112.000 − 33.835)*</w:t>
            </w:r>
          </w:p>
        </w:tc>
      </w:tr>
    </w:tbl>
    <w:p/>
    <w:p>
      <w:r>
        <w:t>Incluye constitución, materiales de mercado, equipos, oficina tipo casa y nómina parcial del equipo mientras se prepara el lanzamiento.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Mes a mes — año 1 (escenario Lean central)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Mes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Firmadas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Activas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Ingresos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Burn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FCF mes</w:t>
            </w:r>
          </w:p>
        </w:tc>
        <w:tc>
          <w:tcPr>
            <w:tcW w:type="dxa" w:w="1234"/>
            <w:shd w:fill="1E2A5A"/>
          </w:tcPr>
          <w:p>
            <w:r>
              <w:rPr>
                <w:b/>
                <w:color w:val="FFFFFF"/>
                <w:sz w:val="20"/>
              </w:rPr>
              <w:t>FCF acumulado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40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1.500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8.011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−6.511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−6.511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2.168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8.011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−5.843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−12.354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62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3.100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8.347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−5.247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−17.601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3.700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8.347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−4.647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−22.248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4.250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8.347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−4.097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−26.345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97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4.850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8.347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−3.497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−29.842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108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5.400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7.980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−2.580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−32.422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119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5.950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7.980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−2.030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−34.452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130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6.500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7.980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−1.480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−35.932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141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7.050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7.980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−930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−36.862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151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7.550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7.980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−430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−37.292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159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7.950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7.980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−30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**−37.322**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  <w:t>**Total año 1**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**185**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**159** *(M12)*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**59.968**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**97.290**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**−37.322**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  <w:t>—</w:t>
            </w:r>
          </w:p>
        </w:tc>
      </w:tr>
    </w:tbl>
    <w:p/>
    <w:p>
      <w:r/>
      <w:r>
        <w:rPr>
          <w:b/>
        </w:rPr>
        <w:t>Lectura:</w:t>
      </w:r>
      <w:r>
        <w:t xml:space="preserve"> la curva mejora mes a mes (menos gap negativo). En </w:t>
      </w:r>
      <w:r>
        <w:rPr>
          <w:b/>
        </w:rPr>
        <w:t>M12</w:t>
      </w:r>
      <w:r>
        <w:t xml:space="preserve"> el gap es </w:t>
      </w:r>
      <w:r>
        <w:rPr>
          <w:b/>
        </w:rPr>
        <w:t>~30 USD</w:t>
      </w:r>
      <w:r>
        <w:t xml:space="preserve"> — esencialmente </w:t>
      </w:r>
      <w:r>
        <w:rPr>
          <w:b/>
        </w:rPr>
        <w:t>empate</w:t>
      </w:r>
      <w:r>
        <w:t xml:space="preserve"> con burn </w:t>
      </w:r>
      <w:r>
        <w:rPr>
          <w:b/>
        </w:rPr>
        <w:t>7.980</w:t>
      </w:r>
      <w:r>
        <w:t xml:space="preserve"> e ingresos </w:t>
      </w:r>
      <w:r>
        <w:rPr>
          <w:b/>
        </w:rPr>
        <w:t>7.950</w:t>
      </w:r>
      <w:r>
        <w:t>.</w:t>
      </w:r>
    </w:p>
    <w:p>
      <w:pPr>
        <w:pStyle w:val="Heading2"/>
      </w:pPr>
      <w:r>
        <w:t>Hipótesis clave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Supuesto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Churn mensual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5%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Firmas brutas año 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~185 (4 vendedores, curva base)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ARPF placeholder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~USD 50/mes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Burn por tramos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8.011 (M1–2) → 8.347 (M3–6) → 7.980 (M7–12)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One-shots Fase 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~14.208 (legal, PCs, video B2B, etc.)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Caja mes a mes (después del Day-D)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Mes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Caja inicio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+ Ingresos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− Burn</w:t>
            </w:r>
          </w:p>
        </w:tc>
        <w:tc>
          <w:tcPr>
            <w:tcW w:type="dxa" w:w="1728"/>
            <w:shd w:fill="1E2A5A"/>
          </w:tcPr>
          <w:p>
            <w:r>
              <w:rPr>
                <w:b/>
                <w:color w:val="FFFFFF"/>
                <w:sz w:val="20"/>
              </w:rPr>
              <w:t>**Caja fin**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**Day-D (M1)**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78.153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1.500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8.011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71.642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71.642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2.168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8.011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65.799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65.799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3.100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8.347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60.552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60.552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3.700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8.347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55.905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55.905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4.250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8.347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51.808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51.808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4.850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8.347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48.311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48.311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5.400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7.980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45.731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45.731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5.950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7.980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43.701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43.701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6.500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7.980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42.221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42.221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7.050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7.980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41.291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41.291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7.550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7.980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40.861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40.861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7.950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7.980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**40.831**</w:t>
            </w:r>
          </w:p>
        </w:tc>
      </w:tr>
    </w:tbl>
    <w:p/>
    <w:p>
      <w:r>
        <w:t xml:space="preserve">Al cierre M12 queda </w:t>
      </w:r>
      <w:r>
        <w:rPr>
          <w:b/>
        </w:rPr>
        <w:t>~36%</w:t>
      </w:r>
      <w:r>
        <w:t xml:space="preserve"> del capital inicial en caja (~40.831 de ~112.000).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Escenario Lean+ (mismo capital, curva +15%)</w:t>
      </w:r>
    </w:p>
    <w:p>
      <w:r>
        <w:t xml:space="preserve">No es un SAFE distinto: </w:t>
      </w:r>
      <w:r>
        <w:rPr>
          <w:b/>
        </w:rPr>
        <w:t>mismo ~112k</w:t>
      </w:r>
      <w:r>
        <w:t xml:space="preserve"> y mismo burn. Solo acelera firmas/activas </w:t>
      </w:r>
      <w:r>
        <w:rPr>
          <w:b/>
        </w:rPr>
        <w:t>×1,15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Lean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Lean+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Capital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~112k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~112k *(igual)*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Firmas año 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~185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~212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Activas M12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~159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~183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Ingresos año 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~59.968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~68.962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FCF año 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−37.322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−28.328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Caja M12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~40.831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~49.825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Equilibrio mensual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Casi M12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**Desde M10**</w:t>
            </w:r>
          </w:p>
        </w:tc>
      </w:tr>
    </w:tbl>
    <w:p/>
    <w:p>
      <w:r>
        <w:t xml:space="preserve">Útil si el canal comercial rinde </w:t>
      </w:r>
      <w:r>
        <w:rPr>
          <w:b/>
        </w:rPr>
        <w:t>15% más</w:t>
      </w:r>
      <w:r>
        <w:t xml:space="preserve"> sin subir headcount a 6 vendedores.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Sensibilidad de caja (referencia)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Escenario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Activas M12</w:t>
            </w:r>
          </w:p>
        </w:tc>
        <w:tc>
          <w:tcPr>
            <w:tcW w:type="dxa" w:w="2880"/>
            <w:shd w:fill="1E2A5A"/>
          </w:tcPr>
          <w:p>
            <w:r>
              <w:rPr>
                <w:b/>
                <w:color w:val="FFFFFF"/>
                <w:sz w:val="20"/>
              </w:rPr>
              <w:t>Caja M12 (aprox.)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Pesimista (P10)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~120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~25.000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**Central Lean (P50)**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**~159**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**~40.831**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Lean+ stretch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~183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~49.825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Optimista (P90)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~200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~52.000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Años 2 a 5 (solo contexto — no ancla pre-seed)</w:t>
      </w:r>
    </w:p>
    <w:p>
      <w:r/>
      <w:r>
        <w:rPr>
          <w:b/>
        </w:rPr>
        <w:t>No usar estas cifras en un pitch de ronda actual</w:t>
      </w:r>
      <w:r>
        <w:t xml:space="preserve"> sin disclaimer y recalibración con datos reales del piloto.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Horizonte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Referencia conservadora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**Año 2**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Ingresos **~96k–108k/año**; ~220 farmacias activas al cierre; burn escala si se activa tier Base/Growth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**Año 3**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**~180k–204k/año** sin Serie 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**Años 4–5**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Expansión geográfica y posible Serie A/B — cifras ilustrativas solo tras GMV medido</w:t>
            </w:r>
          </w:p>
        </w:tc>
      </w:tr>
    </w:tbl>
    <w:p/>
    <w:p>
      <w:r>
        <w:t xml:space="preserve">El foco del pack para Gabriel es </w:t>
      </w:r>
      <w:r>
        <w:rPr>
          <w:b/>
        </w:rPr>
        <w:t>Fase 0 + 12 meses Lean</w:t>
      </w:r>
      <w:r>
        <w:t xml:space="preserve">: capital </w:t>
      </w:r>
      <w:r>
        <w:rPr>
          <w:b/>
        </w:rPr>
        <w:t>112k</w:t>
      </w:r>
      <w:r>
        <w:t xml:space="preserve">, Fase 0 </w:t>
      </w:r>
      <w:r>
        <w:rPr>
          <w:b/>
        </w:rPr>
        <w:t>33.835</w:t>
      </w:r>
      <w:r>
        <w:t xml:space="preserve">, caja Day-D </w:t>
      </w:r>
      <w:r>
        <w:rPr>
          <w:b/>
        </w:rPr>
        <w:t>78.153</w:t>
      </w:r>
      <w:r>
        <w:t xml:space="preserve">, cierre </w:t>
      </w:r>
      <w:r>
        <w:rPr>
          <w:b/>
        </w:rPr>
        <w:t>40.831</w:t>
      </w:r>
      <w:r>
        <w:t xml:space="preserve"> con </w:t>
      </w:r>
      <w:r>
        <w:rPr>
          <w:b/>
        </w:rPr>
        <w:t>159 activas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Mitigaciones si la curva va más lenta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Señal</w:t>
            </w:r>
          </w:p>
        </w:tc>
        <w:tc>
          <w:tcPr>
            <w:tcW w:type="dxa" w:w="4320"/>
            <w:shd w:fill="1E2A5A"/>
          </w:tcPr>
          <w:p>
            <w:r>
              <w:rPr>
                <w:b/>
                <w:color w:val="FFFFFF"/>
                <w:sz w:val="20"/>
              </w:rPr>
              <w:t>Acción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Caja M6 &lt; ~48.311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Recortar Meta 50%; pausar valla; bridge founder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&lt; 8 firmas/mes × 2 meses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Revisar script comercial; validar pricing con farmacias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CAC &gt; 139 +20%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Bajar comisiones variables; foco referidos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Gap M12 persistente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Lean+ (curva ×1,15), ARPF ~53, tier Base ~157k, o bridge trimestral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Qué revisar juntos</w:t>
      </w:r>
    </w:p>
    <w:p>
      <w:r>
        <w:t xml:space="preserve">1. </w:t>
      </w:r>
      <w:r>
        <w:rPr>
          <w:b/>
        </w:rPr>
        <w:t>¿La curva de 185 firmas / 159 activas es realista en Carabobo en 12 meses?</w:t>
      </w:r>
      <w:r>
        <w:t xml:space="preserve"> — Tu lectura del mercado independiente vs cadena.</w:t>
      </w:r>
    </w:p>
    <w:p>
      <w:r>
        <w:t xml:space="preserve">2. </w:t>
      </w:r>
      <w:r>
        <w:rPr>
          <w:b/>
        </w:rPr>
        <w:t>Punto más bajo de caja (~48k en M6)</w:t>
      </w:r>
      <w:r>
        <w:t xml:space="preserve"> — ¿Hay colchón suficiente si el verano o la economía local retrasan adopción?</w:t>
      </w:r>
    </w:p>
    <w:p>
      <w:r>
        <w:t xml:space="preserve">3. </w:t>
      </w:r>
      <w:r>
        <w:rPr>
          <w:b/>
        </w:rPr>
        <w:t>Fase 0 de 90 días</w:t>
      </w:r>
      <w:r>
        <w:t xml:space="preserve"> — ¿Coincide con tiempos reales de legal, onboarding farmacias y go-live?</w:t>
      </w:r>
    </w:p>
    <w:p>
      <w:r>
        <w:t xml:space="preserve">4. </w:t>
      </w:r>
      <w:r>
        <w:rPr>
          <w:b/>
        </w:rPr>
        <w:t>Casi equilibrio M12</w:t>
      </w:r>
      <w:r>
        <w:t xml:space="preserve"> — ¿Prefieres plan conservador (Lean) o stretch operativo (Lean+) sin pedir más capital?</w:t>
      </w:r>
    </w:p>
    <w:p>
      <w:r>
        <w:t xml:space="preserve">5. </w:t>
      </w:r>
      <w:r>
        <w:rPr>
          <w:b/>
        </w:rPr>
        <w:t>Triggers de contingencia</w:t>
      </w:r>
      <w:r>
        <w:t xml:space="preserve"> — ¿Qué métricas locales monitorizarías tú desde mes 3?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Disclaimers</w:t>
      </w:r>
    </w:p>
    <w:p>
      <w:r>
        <w:t xml:space="preserve">- Proyección en </w:t>
      </w:r>
      <w:r>
        <w:rPr>
          <w:b/>
        </w:rPr>
        <w:t>USD constantes</w:t>
      </w:r>
      <w:r>
        <w:t xml:space="preserve"> con buffer de inflación VE (~20%) ya embebido en contingencia mensual — no es fila aparte.</w:t>
      </w:r>
    </w:p>
    <w:p>
      <w:r>
        <w:t xml:space="preserve">- Tabla mes a mes </w:t>
      </w:r>
      <w:r>
        <w:rPr>
          <w:b/>
        </w:rPr>
        <w:t>sin waiver</w:t>
      </w:r>
      <w:r>
        <w:t xml:space="preserve"> comercial (cuota 0 primeras 10 farmacias). Si se activa, ingresos reales serían menores al inicio.</w:t>
      </w:r>
    </w:p>
    <w:p>
      <w:r>
        <w:t xml:space="preserve">- Años 2–5 son </w:t>
      </w:r>
      <w:r>
        <w:rPr>
          <w:b/>
        </w:rPr>
        <w:t>referencia largo plazo</w:t>
      </w:r>
      <w:r>
        <w:t xml:space="preserve"> — no ancla pre-seed ni due diligence sin GMV piloto.</w:t>
      </w:r>
    </w:p>
    <w:p>
      <w:r>
        <w:t xml:space="preserve">- </w:t>
      </w:r>
      <w:r>
        <w:rPr>
          <w:b/>
        </w:rPr>
        <w:t>No sustituye</w:t>
      </w:r>
      <w:r>
        <w:t xml:space="preserve"> modelo contable auditado ni asesoría financiera profesional.</w:t>
      </w:r>
    </w:p>
    <w:p>
      <w:r>
        <w:t xml:space="preserve">- </w:t>
      </w:r>
      <w:r>
        <w:rPr>
          <w:b/>
        </w:rPr>
        <w:t>No es oferta de valores</w:t>
      </w:r>
      <w:r>
        <w:t xml:space="preserve"> ni solicitud de inversión salvo acuerdo aparte.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