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Zonix Pharma — Go-to-market (próximos ~6 meses)</w:t>
      </w:r>
    </w:p>
    <w:p>
      <w:pPr>
        <w:pStyle w:val="Cuerpodetextometa"/>
        <w:bidi w:val="0"/>
        <w:jc w:val="left"/>
        <w:rPr/>
      </w:pPr>
      <w:r>
        <w:rPr>
          <w:rStyle w:val="Strong"/>
        </w:rPr>
        <w:t>Última actualización:</w:t>
      </w:r>
      <w:r>
        <w:rPr/>
        <w:t xml:space="preserve"> 26 julio 2026</w:t>
        <w:br/>
      </w:r>
      <w:r>
        <w:rPr>
          <w:rStyle w:val="Strong"/>
        </w:rPr>
        <w:t>Uso:</w:t>
      </w:r>
      <w:r>
        <w:rPr/>
        <w:t xml:space="preserve"> resumen operativo / inversor (no es data room completo)</w:t>
        <w:br/>
      </w:r>
      <w:r>
        <w:rPr>
          <w:rStyle w:val="Strong"/>
        </w:rPr>
        <w:t>Fuentes:</w:t>
      </w:r>
      <w:r>
        <w:rPr/>
        <w:t xml:space="preserve"> PLAN_LANZAMIENTO_COMERCIAL.md · BRIEF_UNA_PAGINA.md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420"/>
        <w:jc w:val="left"/>
        <w:rPr/>
      </w:pPr>
      <w:r>
        <w:rPr/>
        <w:t>Resumen en una línea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GTM </w:t>
      </w:r>
      <w:r>
        <w:rPr>
          <w:rStyle w:val="Strong"/>
        </w:rPr>
        <w:t>supply-first</w:t>
      </w:r>
      <w:r>
        <w:rPr/>
        <w:t xml:space="preserve"> en </w:t>
      </w:r>
      <w:r>
        <w:rPr>
          <w:rStyle w:val="Strong"/>
        </w:rPr>
        <w:t>Valencia metro (Carabobo)</w:t>
      </w:r>
      <w:r>
        <w:rPr/>
        <w:t xml:space="preserve">: primero farmacias independientes activas con catálogo; después pacientes locales. </w:t>
      </w:r>
      <w:r>
        <w:rPr>
          <w:rStyle w:val="Strong"/>
        </w:rPr>
        <w:t>No</w:t>
      </w:r>
      <w:r>
        <w:rPr/>
        <w:t xml:space="preserve"> escalar Meta Ads a pacientes sin oferta lista.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420"/>
        <w:jc w:val="left"/>
        <w:rPr/>
      </w:pPr>
      <w:r>
        <w:rPr/>
        <w:t>Marco B2B2C (mercado bilateral)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25"/>
        <w:gridCol w:w="5215"/>
        <w:gridCol w:w="3499"/>
      </w:tblGrid>
      <w:tr>
        <w:trPr/>
        <w:tc>
          <w:tcPr>
            <w:tcW w:w="182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Lado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Qué se captura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Canal principal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Farmacia</w:t>
            </w:r>
            <w:r>
              <w:rPr/>
              <w:t xml:space="preserve"> (oferta)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Contrato marco: cuota </w:t>
            </w:r>
            <w:r>
              <w:rPr>
                <w:rStyle w:val="Strong"/>
              </w:rPr>
              <w:t>25 / 40 / 55</w:t>
            </w:r>
            <w:r>
              <w:rPr/>
              <w:t xml:space="preserve"> USD + % GMV moderado (muy por debajo del take-rate típico de agregadores)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4× Sales B2B</w:t>
            </w:r>
            <w:r>
              <w:rPr/>
              <w:t xml:space="preserve"> puerta a puerta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Paciente</w:t>
            </w:r>
            <w:r>
              <w:rPr/>
              <w:t xml:space="preserve"> (demanda)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Pedidos OTC / Rx en app + entrega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Meta Ads</w:t>
            </w:r>
            <w:r>
              <w:rPr/>
              <w:t xml:space="preserve"> geo Valencia + QR / mostrador + WhatsApp</w:t>
            </w:r>
          </w:p>
        </w:tc>
      </w:tr>
      <w:tr>
        <w:trPr/>
        <w:tc>
          <w:tcPr>
            <w:tcW w:w="182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Delivery</w:t>
            </w:r>
          </w:p>
        </w:tc>
        <w:tc>
          <w:tcPr>
            <w:tcW w:w="5215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Última milla</w:t>
            </w:r>
          </w:p>
        </w:tc>
        <w:tc>
          <w:tcPr>
            <w:tcW w:w="3499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Partner delivery_company + agentes — </w:t>
            </w:r>
            <w:r>
              <w:rPr>
                <w:rStyle w:val="Strong"/>
              </w:rPr>
              <w:t>sin flota propia</w:t>
            </w:r>
            <w:r>
              <w:rPr/>
              <w:t xml:space="preserve"> de Zonix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Regla fija:</w:t>
      </w:r>
      <w:r>
        <w:rPr/>
        <w:t xml:space="preserve"> no tráfico masivo a pacientes hasta gate pre-Day-D (farmacias firmadas/activas + checklist ops + smoke Rx/OTC).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420"/>
        <w:jc w:val="left"/>
        <w:rPr/>
      </w:pPr>
      <w:r>
        <w:rPr/>
        <w:t>Reloj del pack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83"/>
        <w:gridCol w:w="8856"/>
      </w:tblGrid>
      <w:tr>
        <w:trPr/>
        <w:tc>
          <w:tcPr>
            <w:tcW w:w="1683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Ancla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16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T+0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Wire del capital (cierre SAFE)</w:t>
            </w:r>
          </w:p>
        </w:tc>
      </w:tr>
      <w:tr>
        <w:trPr/>
        <w:tc>
          <w:tcPr>
            <w:tcW w:w="16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Day-D = T+90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Lanzamiento público del piloto en app = </w:t>
            </w:r>
            <w:r>
              <w:rPr>
                <w:rStyle w:val="Strong"/>
              </w:rPr>
              <w:t>M1</w:t>
            </w:r>
            <w:r>
              <w:rPr/>
              <w:t xml:space="preserve"> del modelo</w:t>
            </w:r>
          </w:p>
        </w:tc>
      </w:tr>
      <w:tr>
        <w:trPr/>
        <w:tc>
          <w:tcPr>
            <w:tcW w:w="1683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“</w:t>
            </w:r>
            <w:r>
              <w:rPr>
                <w:rStyle w:val="Strong"/>
              </w:rPr>
              <w:t>~6 meses”</w:t>
            </w:r>
          </w:p>
        </w:tc>
        <w:tc>
          <w:tcPr>
            <w:tcW w:w="885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≈ </w:t>
            </w:r>
            <w:r>
              <w:rPr>
                <w:rStyle w:val="Strong"/>
              </w:rPr>
              <w:t>Fase 0 (3 meses)</w:t>
            </w:r>
            <w:r>
              <w:rPr/>
              <w:t xml:space="preserve"> + </w:t>
            </w:r>
            <w:r>
              <w:rPr>
                <w:rStyle w:val="Strong"/>
              </w:rPr>
              <w:t>primeros ~3 meses</w:t>
            </w:r>
            <w:r>
              <w:rPr/>
              <w:t xml:space="preserve"> post-Day-D; el hito fuerte de éxito del piloto es </w:t>
            </w:r>
            <w:r>
              <w:rPr>
                <w:rStyle w:val="Strong"/>
              </w:rPr>
              <w:t>M6</w:t>
            </w:r>
            <w:r>
              <w:rPr/>
              <w:t xml:space="preserve"> post-Day-D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420"/>
        <w:jc w:val="left"/>
        <w:rPr/>
      </w:pPr>
      <w:r>
        <w:rPr/>
        <w:t>Calendario comercial y marketing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420"/>
        <w:jc w:val="left"/>
        <w:rPr/>
      </w:pPr>
      <w:r>
        <w:rPr/>
        <w:t>1) Fase 0 — T+0 → T+90 (pre-lanzamiento)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Operación / legal / equipo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Constitución empresa, HQ (San Diego / Av. Bolívar Norte), stack en producción.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129" w:leader="none"/>
        </w:tabs>
        <w:bidi w:val="0"/>
        <w:ind w:hanging="283" w:left="1129"/>
        <w:jc w:val="left"/>
        <w:rPr/>
      </w:pPr>
      <w:r>
        <w:rPr/>
        <w:t xml:space="preserve">Equipo Lean: Co-CEO, </w:t>
      </w:r>
      <w:r>
        <w:rPr>
          <w:rStyle w:val="Strong"/>
        </w:rPr>
        <w:t>4× Sales B2B</w:t>
      </w:r>
      <w:r>
        <w:rPr/>
        <w:t xml:space="preserve">, Customer Support, Marketing Lead, Coordinador de partners logísticos.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Comercial B2B (oferta primero)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Rutas Valencia metro (centro, San Diego, Naguanagua, El Socorro, La Viña, Prebo, etc.).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Hacia Day-D: meta pack </w:t>
      </w:r>
      <w:r>
        <w:rPr>
          <w:rStyle w:val="Strong"/>
        </w:rPr>
        <w:t>~35 farmacias firmadas</w:t>
      </w:r>
      <w:r>
        <w:rPr/>
        <w:t xml:space="preserve"> / </w:t>
      </w:r>
      <w:r>
        <w:rPr>
          <w:rStyle w:val="Strong"/>
        </w:rPr>
        <w:t>~28 activas</w:t>
      </w:r>
      <w:r>
        <w:rPr/>
        <w:t xml:space="preserve"> con catálogo listo.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129" w:leader="none"/>
        </w:tabs>
        <w:bidi w:val="0"/>
        <w:ind w:hanging="283" w:left="1129"/>
        <w:jc w:val="left"/>
        <w:rPr/>
      </w:pPr>
      <w:r>
        <w:rPr/>
        <w:t xml:space="preserve">Sales no solo prospecta: firma contrato marco + capacita carga de catálogo y panel.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Marketing (preparación, no captura masiva)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Meta Business: píxel / eventos, públicos geo Carabobo/Valencia, creatividades de marca.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Campañas Meta en </w:t>
      </w:r>
      <w:r>
        <w:rPr>
          <w:rStyle w:val="Strong"/>
        </w:rPr>
        <w:t>test interno</w:t>
      </w:r>
      <w:r>
        <w:rPr/>
        <w:t xml:space="preserve"> (gasto mínimo) hasta gate Go Day-D.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Valla 3×2 m Av. Bolívar Norte como </w:t>
      </w:r>
      <w:r>
        <w:rPr>
          <w:rStyle w:val="Strong"/>
        </w:rPr>
        <w:t>refuerzo offline</w:t>
      </w:r>
      <w:r>
        <w:rPr/>
        <w:t xml:space="preserve"> hacia Day-D.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129" w:leader="none"/>
        </w:tabs>
        <w:bidi w:val="0"/>
        <w:ind w:hanging="283" w:left="1129"/>
        <w:jc w:val="left"/>
        <w:rPr/>
      </w:pPr>
      <w:r>
        <w:rPr/>
        <w:t xml:space="preserve">Soft launch amigos/familia (aprox. T+60–T+85).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420"/>
        <w:jc w:val="left"/>
        <w:rPr/>
      </w:pPr>
      <w:r>
        <w:rPr/>
        <w:t>2) Day-D (T+90)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Boost </w:t>
      </w:r>
      <w:r>
        <w:rPr>
          <w:rStyle w:val="Strong"/>
        </w:rPr>
        <w:t>Meta Ads</w:t>
      </w:r>
      <w:r>
        <w:rPr/>
        <w:t xml:space="preserve"> (canal principal) + activación </w:t>
      </w:r>
      <w:r>
        <w:rPr>
          <w:rStyle w:val="Strong"/>
        </w:rPr>
        <w:t>valla</w:t>
      </w:r>
      <w:r>
        <w:rPr/>
        <w:t xml:space="preserve"> (si contrato lo calendariza).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App pública (Play / App Store según checklist release Fase 0).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Visitas a farmacias piloto en operación; primeras órdenes reales.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129" w:leader="none"/>
        </w:tabs>
        <w:bidi w:val="0"/>
        <w:ind w:hanging="283" w:left="1129"/>
        <w:jc w:val="left"/>
        <w:rPr/>
      </w:pPr>
      <w:r>
        <w:rPr/>
        <w:t xml:space="preserve">CS reforzado ~10 días post-lanzamiento.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420"/>
        <w:jc w:val="left"/>
        <w:rPr/>
      </w:pPr>
      <w:r>
        <w:rPr/>
        <w:t>3) Post-Day-D — M1 → M3 (y camino a M6)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Flywheel</w:t>
      </w:r>
    </w:p>
    <w:p>
      <w:pPr>
        <w:pStyle w:val="BodyText"/>
        <w:bidi w:val="0"/>
        <w:ind w:hanging="0" w:left="0" w:right="0"/>
        <w:jc w:val="left"/>
        <w:rPr>
          <w:rFonts w:ascii="Consolas;monospace" w:hAnsi="Consolas;monospace"/>
          <w:sz w:val="19"/>
          <w:bdr w:val="single" w:sz="2" w:space="8" w:color="DDDDDD"/>
          <w:shd w:fill="F7F7F7" w:val="clear"/>
        </w:rPr>
      </w:pPr>
      <w:r>
        <w:rPr>
          <w:rFonts w:ascii="Consolas;monospace" w:hAnsi="Consolas;monospace"/>
          <w:sz w:val="19"/>
          <w:bdr w:val="single" w:sz="2" w:space="8" w:color="DDDDDD"/>
          <w:shd w:fill="F7F7F7" w:val="clear"/>
        </w:rPr>
        <w:t>Más farmacias activas (+ catálogo) → más pacientes en zona piloto (Meta + referidos mostrador) → más GMV en app → más ingreso Zonix (cuota + % GMV) → más capacidad Sales / CS / Marketing → mejor onboarding de nuevas farmacias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Prioridades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Validar que el paciente </w:t>
      </w:r>
      <w:r>
        <w:rPr>
          <w:rStyle w:val="Strong"/>
        </w:rPr>
        <w:t>compra y repite en M2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Cobrar cuota al vencer waiver antes de escalar Meta.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Si demanda B2C lenta: priorizar </w:t>
      </w:r>
      <w:r>
        <w:rPr>
          <w:rStyle w:val="Strong"/>
        </w:rPr>
        <w:t>QR en farmacia</w:t>
      </w:r>
      <w:r>
        <w:rPr/>
        <w:t xml:space="preserve"> (canal interior) antes de más ads.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129" w:leader="none"/>
        </w:tabs>
        <w:bidi w:val="0"/>
        <w:ind w:hanging="283" w:left="1129"/>
        <w:jc w:val="left"/>
        <w:rPr/>
      </w:pPr>
      <w:r>
        <w:rPr/>
        <w:t xml:space="preserve">Presupuesto Meta Lean de referencia: </w:t>
      </w:r>
      <w:r>
        <w:rPr>
          <w:rStyle w:val="Strong"/>
        </w:rPr>
        <w:t>~USD 800/mes</w:t>
      </w:r>
      <w:r>
        <w:rPr/>
        <w:t xml:space="preserve"> (M1–M6) + ritmo de </w:t>
      </w:r>
      <w:r>
        <w:rPr>
          <w:rStyle w:val="Strong"/>
        </w:rPr>
        <w:t>4× Sales</w:t>
      </w:r>
      <w:r>
        <w:rPr/>
        <w:t xml:space="preserve">. </w:t>
      </w:r>
    </w:p>
    <w:p>
      <w:pPr>
        <w:pStyle w:val="BodyText"/>
        <w:bidi w:val="0"/>
        <w:spacing w:before="0" w:after="283"/>
        <w:jc w:val="left"/>
        <w:rPr/>
      </w:pPr>
      <w:r>
        <w:rPr>
          <w:rStyle w:val="Strong"/>
        </w:rPr>
        <w:t>Definition of Done del piloto (M6 post-Day-D)</w:t>
      </w:r>
      <w:r>
        <w:rPr/>
        <w:t xml:space="preserve"> — metas del pack</w:t>
      </w:r>
    </w:p>
    <w:tbl>
      <w:tblPr>
        <w:tblW w:w="415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1"/>
        <w:gridCol w:w="1666"/>
      </w:tblGrid>
      <w:tr>
        <w:trPr/>
        <w:tc>
          <w:tcPr>
            <w:tcW w:w="2491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Criterio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Ttulodelatabla"/>
              <w:suppressLineNumbers/>
              <w:bidi w:val="0"/>
              <w:spacing w:before="0" w:after="283"/>
              <w:jc w:val="left"/>
              <w:rPr/>
            </w:pPr>
            <w:r>
              <w:rPr/>
              <w:t>Meta M6</w:t>
            </w:r>
          </w:p>
        </w:tc>
      </w:tr>
      <w:tr>
        <w:trPr/>
        <w:tc>
          <w:tcPr>
            <w:tcW w:w="24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Farmacias activas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>
                <w:rStyle w:val="Strong"/>
              </w:rPr>
              <w:t>97</w:t>
            </w:r>
          </w:p>
        </w:tc>
      </w:tr>
      <w:tr>
        <w:trPr/>
        <w:tc>
          <w:tcPr>
            <w:tcW w:w="24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Pedidos completados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>
                <w:rStyle w:val="Strong"/>
              </w:rPr>
              <w:t>1.500</w:t>
            </w:r>
          </w:p>
        </w:tc>
      </w:tr>
      <w:tr>
        <w:trPr/>
        <w:tc>
          <w:tcPr>
            <w:tcW w:w="24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NPS B2C / B2B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>
                <w:rStyle w:val="Strong"/>
              </w:rPr>
              <w:t>35</w:t>
            </w:r>
            <w:r>
              <w:rPr/>
              <w:t xml:space="preserve"> / ≥ </w:t>
            </w:r>
            <w:r>
              <w:rPr>
                <w:rStyle w:val="Strong"/>
              </w:rPr>
              <w:t>50</w:t>
            </w:r>
          </w:p>
        </w:tc>
      </w:tr>
      <w:tr>
        <w:trPr/>
        <w:tc>
          <w:tcPr>
            <w:tcW w:w="24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Revenue mensual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≥ </w:t>
            </w:r>
            <w:r>
              <w:rPr>
                <w:rStyle w:val="Strong"/>
              </w:rPr>
              <w:t>USD 4.800</w:t>
            </w:r>
          </w:p>
        </w:tc>
      </w:tr>
      <w:tr>
        <w:trPr/>
        <w:tc>
          <w:tcPr>
            <w:tcW w:w="2491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>Cancelación de orden</w:t>
            </w:r>
          </w:p>
        </w:tc>
        <w:tc>
          <w:tcPr>
            <w:tcW w:w="1666" w:type="dxa"/>
            <w:tcBorders/>
            <w:vAlign w:val="center"/>
          </w:tcPr>
          <w:p>
            <w:pPr>
              <w:pStyle w:val="Contenidodelatabla"/>
              <w:bidi w:val="0"/>
              <w:spacing w:before="0" w:after="283"/>
              <w:jc w:val="left"/>
              <w:rPr/>
            </w:pPr>
            <w:r>
              <w:rPr/>
              <w:t xml:space="preserve">≤ </w:t>
            </w:r>
            <w:r>
              <w:rPr>
                <w:rStyle w:val="Strong"/>
              </w:rPr>
              <w:t>8%</w:t>
            </w:r>
          </w:p>
        </w:tc>
      </w:tr>
    </w:tbl>
    <w:p>
      <w:pPr>
        <w:pStyle w:val="Cuerpodetextonote"/>
        <w:bidi w:val="0"/>
        <w:jc w:val="left"/>
        <w:rPr/>
      </w:pPr>
      <w:r>
        <w:rPr/>
        <w:t>Detalle SLA delivery / cash: ver PLAN_LANZAMIENTO_COMERCIAL §5 y PROYECCION.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420"/>
        <w:jc w:val="left"/>
        <w:rPr/>
      </w:pPr>
      <w:r>
        <w:rPr/>
        <w:t>Canales de marketing (orden de prioridad)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>
          <w:rStyle w:val="Strong"/>
        </w:rPr>
        <w:t>Meta Ads</w:t>
      </w:r>
      <w:r>
        <w:rPr/>
        <w:t xml:space="preserve"> (Instagram / Facebook) — canal principal de awareness y captación B2C geo Valencia.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>
          <w:rStyle w:val="Strong"/>
        </w:rPr>
        <w:t>Valla</w:t>
      </w:r>
      <w:r>
        <w:rPr/>
        <w:t xml:space="preserve"> Av. Bolívar Norte — refuerzo offline en / hacia Day-D.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>
          <w:rStyle w:val="Strong"/>
        </w:rPr>
        <w:t>Orgánico / referidos:</w:t>
      </w:r>
      <w:r>
        <w:rPr/>
        <w:t xml:space="preserve"> Instagram, WhatsApp comunidades, QR mostrador.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129" w:leader="none"/>
        </w:tabs>
        <w:bidi w:val="0"/>
        <w:ind w:hanging="283" w:left="1129"/>
        <w:jc w:val="left"/>
        <w:rPr/>
      </w:pPr>
      <w:r>
        <w:rPr>
          <w:rStyle w:val="Strong"/>
        </w:rPr>
        <w:t>Google Ads</w:t>
      </w:r>
      <w:r>
        <w:rPr/>
        <w:t xml:space="preserve"> — solo complemento (search / remarketing local), no eje. 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420"/>
        <w:jc w:val="left"/>
        <w:rPr/>
      </w:pPr>
      <w:r>
        <w:rPr/>
        <w:t>Qué no es la GTM de este tramo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Expansión a </w:t>
      </w:r>
      <w:r>
        <w:rPr>
          <w:rStyle w:val="Strong"/>
        </w:rPr>
        <w:t>otros países</w:t>
      </w:r>
      <w:r>
        <w:rPr/>
        <w:t xml:space="preserve"> (tesis post-piloto; beachhead = Valencia / Carabobo).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Escala </w:t>
      </w:r>
      <w:r>
        <w:rPr>
          <w:rStyle w:val="Strong"/>
        </w:rPr>
        <w:t>nacional</w:t>
      </w:r>
      <w:r>
        <w:rPr/>
        <w:t xml:space="preserve"> de paid media.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Promesas de </w:t>
      </w:r>
      <w:r>
        <w:rPr>
          <w:rStyle w:val="Strong"/>
        </w:rPr>
        <w:t>GMV paciente</w:t>
      </w:r>
      <w:r>
        <w:rPr/>
        <w:t xml:space="preserve"> sin dato de piloto.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129" w:leader="none"/>
        </w:tabs>
        <w:bidi w:val="0"/>
        <w:ind w:hanging="283" w:left="1129"/>
        <w:jc w:val="left"/>
        <w:rPr/>
      </w:pPr>
      <w:r>
        <w:rPr/>
        <w:t xml:space="preserve">Sustituir al médico ni claims terapéuticos en creatividades. </w:t>
      </w:r>
    </w:p>
    <w:p>
      <w:pPr>
        <w:pStyle w:val="Heading2"/>
        <w:numPr>
          <w:ilvl w:val="0"/>
          <w:numId w:val="0"/>
        </w:numPr>
        <w:pBdr/>
        <w:bidi w:val="0"/>
        <w:spacing w:before="200" w:after="120"/>
        <w:ind w:left="420"/>
        <w:jc w:val="left"/>
        <w:rPr/>
      </w:pPr>
      <w:r>
        <w:rPr/>
        <w:t>Documentos hermanos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PLAN_LANZAMIENTO_COMERCIAL.md — calendario T+0 / T+30 / T+60 / T+90 / flywheel / DoD M6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BRIEF_UNA_PAGINA.md — ancla producto + capital Lean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29" w:leader="none"/>
        </w:tabs>
        <w:bidi w:val="0"/>
        <w:spacing w:before="0" w:after="0"/>
        <w:ind w:hanging="283" w:left="1129"/>
        <w:jc w:val="left"/>
        <w:rPr/>
      </w:pPr>
      <w:r>
        <w:rPr/>
        <w:t xml:space="preserve">PROPUESTA_VALOR_CLIENTE_B2B.md — pitch a farmacia (cuotas + % GMV)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129" w:leader="none"/>
        </w:tabs>
        <w:bidi w:val="0"/>
        <w:spacing w:before="0" w:after="283"/>
        <w:ind w:hanging="283" w:left="1129"/>
        <w:jc w:val="left"/>
        <w:rPr/>
      </w:pPr>
      <w:r>
        <w:rPr/>
        <w:t xml:space="preserve">CONTEXTO_PITCH_Y_DECISIONES.md — market type, canales, Bullseye </w:t>
      </w:r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24" w:before="420" w:after="420"/>
      <w:ind w:left="420" w:right="420"/>
    </w:pPr>
    <w:rPr>
      <w:rFonts w:ascii="Calibri;Arial;sans-serif" w:hAnsi="Calibri;Arial;sans-serif" w:eastAsia="Calibri;Arial;sans-serif" w:cs="Calibri;Arial;sans-serif"/>
      <w:color w:val="111111"/>
      <w:sz w:val="22"/>
      <w:szCs w:val="22"/>
      <w:lang w:val="es-ES" w:eastAsia="zh-CN" w:bidi="hi-IN"/>
    </w:rPr>
  </w:style>
  <w:style w:type="paragraph" w:styleId="Heading1">
    <w:name w:val="Heading 1"/>
    <w:basedOn w:val="Ttulo"/>
    <w:next w:val="BodyText"/>
    <w:qFormat/>
    <w:pPr/>
    <w:rPr>
      <w:rFonts w:ascii="Noto Sans" w:hAnsi="Noto Sans"/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pBdr>
        <w:bottom w:val="single" w:sz="2" w:space="2" w:color="CCCCCC"/>
      </w:pBdr>
      <w:spacing w:before="200" w:after="120"/>
      <w:ind w:left="420"/>
      <w:outlineLvl w:val="1"/>
    </w:pPr>
    <w:rPr>
      <w:rFonts w:ascii="Liberation Serif" w:hAnsi="Liberation Serif" w:eastAsia="Noto Serif CJK SC" w:cs="Noto Sans"/>
      <w:b/>
      <w:bCs/>
      <w:sz w:val="26"/>
      <w:szCs w:val="2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ind w:left="420"/>
      <w:outlineLvl w:val="2"/>
    </w:pPr>
    <w:rPr>
      <w:rFonts w:ascii="Liberation Serif" w:hAnsi="Liberation Serif" w:eastAsia="Noto Serif CJK SC" w:cs="Noto Sans"/>
      <w:b/>
      <w:bCs/>
      <w:sz w:val="23"/>
      <w:szCs w:val="23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/>
  </w:style>
  <w:style w:type="paragraph" w:styleId="Cabeceraypie">
    <w:name w:val="Cabecera y pie"/>
    <w:basedOn w:val="Normal"/>
    <w:qFormat/>
    <w:pPr>
      <w:suppressLineNumbers/>
      <w:tabs>
        <w:tab w:val="clear" w:pos="1134"/>
        <w:tab w:val="center" w:pos="5406" w:leader="none"/>
        <w:tab w:val="right" w:pos="1039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5238" w:leader="none"/>
        <w:tab w:val="right" w:pos="1005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238" w:leader="none"/>
        <w:tab w:val="right" w:pos="10057" w:leader="none"/>
      </w:tabs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Cuerpodetextometa">
    <w:name w:val="Cuerpo de texto.meta"/>
    <w:basedOn w:val="BodyText"/>
    <w:qFormat/>
    <w:pPr/>
    <w:rPr>
      <w:color w:val="333333"/>
      <w:sz w:val="19"/>
      <w:szCs w:val="19"/>
    </w:rPr>
  </w:style>
  <w:style w:type="paragraph" w:styleId="Ttulodelatabla">
    <w:name w:val="Título de la tabla"/>
    <w:basedOn w:val="Contenidodelatabla"/>
    <w:qFormat/>
    <w:pPr>
      <w:suppressLineNumbers/>
      <w:jc w:val="left"/>
    </w:pPr>
    <w:rPr>
      <w:b/>
      <w:bCs/>
    </w:rPr>
  </w:style>
  <w:style w:type="paragraph" w:styleId="Cuerpodetextonote">
    <w:name w:val="Cuerpo de texto.note"/>
    <w:basedOn w:val="BodyText"/>
    <w:qFormat/>
    <w:pPr/>
    <w:rPr>
      <w:color w:val="444444"/>
      <w:sz w:val="19"/>
      <w:szCs w:val="19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659</Words>
  <Characters>3435</Characters>
  <CharactersWithSpaces>4021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Zonix Pharma — Go-to-market (próximos ~6 meses)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