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v8 7-ago-2026) desde Lanzamiento. Canon SAFE **237.412**; equity **~39,57%**. Mecánica SAFE corregida (under-cap → más %, no menos).</w:t>
      </w:r>
    </w:p>
    <w:p>
      <w:pPr>
        <w:pStyle w:val="Title"/>
      </w:pPr>
      <w:r>
        <w:t>Estructura legal y equity (SAFE + cap table)</w:t>
      </w:r>
    </w:p>
    <w:p>
      <w:r>
        <w:rPr>
          <w:i/>
        </w:rPr>
        <w:t>**Última actualización:** 30 julio 2026 (anclas SAFE **v4 Excel** — **USD 237.412** @ cap **600k** → **~39,57%**).</w:t>
      </w:r>
    </w:p>
    <w:p>
      <w:r>
        <w:rPr>
          <w:i/>
        </w:rPr>
        <w:t>Documento que captura el vehículo legal, instrumento de inversión y cap table de Zonix Pharma.</w:t>
      </w:r>
    </w:p>
    <w:p>
      <w:r>
        <w:rPr>
          <w:i/>
        </w:rPr>
        <w:t>Marco regulatorio **Pharma:** [`../PLAN_REGULATORIO_PHARMA_VE.md`](../PLAN_REGULATORIO_PHARMA_VE.md). Pagos/Sudeban: [PLAN_METODOS_PAGO.md](PLAN_METODOS_PAGO.md) §10. Archivo Eats (solo referencia): [`../REQUISITOS_OPERAR_VENEZUELA.md`](../REQUISITOS_OPERAR_VENEZUELA.md).</w:t>
      </w:r>
    </w:p>
    <w:p>
      <w:r/>
      <w:r>
        <w:rPr>
          <w:b/>
        </w:rPr>
        <w:t>Roles operativos vs gobernanza:</w:t>
      </w:r>
      <w:r>
        <w:t xml:space="preserve"> el pack usa </w:t>
      </w:r>
      <w:r>
        <w:rPr>
          <w:b/>
        </w:rPr>
        <w:t>Co-CEO / CEO operativo</w:t>
      </w:r>
      <w:r>
        <w:t xml:space="preserve"> junto al </w:t>
      </w:r>
      <w:r>
        <w:rPr>
          <w:b/>
        </w:rPr>
        <w:t>CEO+CTO (founder)</w:t>
      </w:r>
      <w:r>
        <w:t xml:space="preserve"> como </w:t>
      </w:r>
      <w:r>
        <w:rPr>
          <w:b/>
        </w:rPr>
        <w:t>rótulos de trabajo</w:t>
      </w:r>
      <w:r>
        <w:t xml:space="preserve"> (comercial / operación vs producto-tech). El </w:t>
      </w:r>
      <w:r>
        <w:rPr>
          <w:b/>
        </w:rPr>
        <w:t>representante legal</w:t>
      </w:r>
      <w:r>
        <w:t xml:space="preserve">, </w:t>
      </w:r>
      <w:r>
        <w:rPr>
          <w:b/>
        </w:rPr>
        <w:t>junta</w:t>
      </w:r>
      <w:r>
        <w:t xml:space="preserve">, </w:t>
      </w:r>
      <w:r>
        <w:rPr>
          <w:b/>
        </w:rPr>
        <w:t>relación laboral</w:t>
      </w:r>
      <w:r>
        <w:t xml:space="preserve"> y el </w:t>
      </w:r>
      <w:r>
        <w:rPr>
          <w:b/>
        </w:rPr>
        <w:t>SAFE</w:t>
      </w:r>
      <w:r>
        <w:t xml:space="preserve"> siguen lo que acuerden </w:t>
      </w:r>
      <w:r>
        <w:rPr>
          <w:b/>
        </w:rPr>
        <w:t>abogado + partes</w:t>
      </w:r>
      <w:r>
        <w:t>; no se asume que “dos CEO” dupliquen obligaciones legales sin documentarlo.</w:t>
      </w:r>
    </w:p>
    <w:p>
      <w:r/>
      <w:r>
        <w:rPr>
          <w:b/>
        </w:rPr>
        <w:t>Lectura inversor (30 min):</w:t>
      </w:r>
      <w:r>
        <w:t xml:space="preserve"> §2 SAFE (cap según tier) → §3 cap table post-conversión → §4 datos personales / subencargados → anexo template YC cuando abogado lo adjunte `[PENDIENTE]`.</w:t>
      </w:r>
    </w:p>
    <w:p>
      <w:pPr>
        <w:pStyle w:val="Heading1"/>
      </w:pPr>
      <w:r>
        <w:t>1. Vehículo legal</w:t>
      </w:r>
    </w:p>
    <w:p>
      <w:pPr>
        <w:pStyle w:val="Heading2"/>
      </w:pPr>
      <w:r>
        <w:t>1.1 Forma societaria</w:t>
      </w:r>
    </w:p>
    <w:p>
      <w:r/>
      <w:r>
        <w:rPr>
          <w:b/>
        </w:rPr>
        <w:t>Compañía Anónima (C.A.)</w:t>
      </w:r>
      <w:r>
        <w:t xml:space="preserve"> registrada en el Registro Mercantil del Estado Carabobo.</w:t>
      </w:r>
    </w:p>
    <w:p>
      <w:r/>
      <w:r>
        <w:rPr>
          <w:b/>
        </w:rPr>
        <w:t>Por qué C.A.:</w:t>
      </w:r>
      <w:r/>
    </w:p>
    <w:p>
      <w:r>
        <w:t>- Forma societaria estándar en Venezuela.</w:t>
      </w:r>
    </w:p>
    <w:p>
      <w:r>
        <w:t>- Permite varios accionistas con responsabilidad limitada.</w:t>
      </w:r>
    </w:p>
    <w:p>
      <w:r>
        <w:t>- Aceptada por SENIAT, bancos, contrapartes B2B.</w:t>
      </w:r>
    </w:p>
    <w:p>
      <w:r>
        <w:t>- Compatible con SAFE: el inversor recibe shares al momento de conversión.</w:t>
      </w:r>
    </w:p>
    <w:p>
      <w:r/>
      <w:r>
        <w:rPr>
          <w:b/>
        </w:rPr>
        <w:t>Alternativas descartadas:</w:t>
      </w:r>
      <w:r/>
    </w:p>
    <w:p>
      <w:r>
        <w:t xml:space="preserve">- </w:t>
      </w:r>
      <w:r>
        <w:rPr>
          <w:b/>
        </w:rPr>
        <w:t>Firma personal del founder:</w:t>
      </w:r>
      <w:r>
        <w:t xml:space="preserve"> sin separación patrimonial. Inseguro para el inversor.</w:t>
      </w:r>
    </w:p>
    <w:p>
      <w:r>
        <w:t xml:space="preserve">- </w:t>
      </w:r>
      <w:r>
        <w:rPr>
          <w:b/>
        </w:rPr>
        <w:t>C.A. en Panamá / Delaware:</w:t>
      </w:r>
      <w:r>
        <w:t xml:space="preserve"> complejidad regulatoria + costo &gt; USD 5.000 + reporte cross-border. No justificado en piloto.</w:t>
      </w:r>
    </w:p>
    <w:p>
      <w:r>
        <w:t xml:space="preserve">- </w:t>
      </w:r>
      <w:r>
        <w:rPr>
          <w:b/>
        </w:rPr>
        <w:t>S.A. (Sociedad Anónima):</w:t>
      </w:r>
      <w:r>
        <w:t xml:space="preserve"> equivalente a C.A. en VE pero con más formalidades. C.A. es más liviana para PYMES.</w:t>
      </w:r>
    </w:p>
    <w:p>
      <w:pPr>
        <w:pStyle w:val="Heading2"/>
      </w:pPr>
      <w:r>
        <w:t>1.2 Razón social propuesta</w:t>
      </w:r>
    </w:p>
    <w:p>
      <w:r/>
      <w:r>
        <w:rPr>
          <w:b/>
        </w:rPr>
        <w:t>ZONIX PHARMA, C.A.</w:t>
      </w:r>
      <w:r>
        <w:t xml:space="preserve"> o </w:t>
      </w:r>
      <w:r>
        <w:rPr>
          <w:b/>
        </w:rPr>
        <w:t>ZONIXPHARMA, C.A.</w:t>
      </w:r>
      <w:r>
        <w:t xml:space="preserve"> (según disponibilidad en Registro Mercantil al momento del trámite).</w:t>
      </w:r>
    </w:p>
    <w:p>
      <w:pPr>
        <w:pStyle w:val="Heading2"/>
      </w:pPr>
      <w:r>
        <w:t>1.3 Capital social propuesto</w:t>
      </w:r>
    </w:p>
    <w:p>
      <w:r>
        <w:t xml:space="preserve">- Capital social de constitución: </w:t>
      </w:r>
      <w:r>
        <w:rPr>
          <w:b/>
        </w:rPr>
        <w:t>USD 1.000 equivalente en bolívares al cambio del día</w:t>
      </w:r>
      <w:r>
        <w:t>.</w:t>
      </w:r>
    </w:p>
    <w:p>
      <w:r>
        <w:t xml:space="preserve">- Acciones: </w:t>
      </w:r>
      <w:r>
        <w:rPr>
          <w:b/>
        </w:rPr>
        <w:t>1.000.000 acciones</w:t>
      </w:r>
      <w:r>
        <w:t xml:space="preserve"> a USD 0,001 cada una.</w:t>
      </w:r>
    </w:p>
    <w:p>
      <w:r>
        <w:t>- 100% propiedad inicial del founder (1.000.000 acciones).</w:t>
      </w:r>
    </w:p>
    <w:p>
      <w:r/>
      <w:r>
        <w:rPr>
          <w:b/>
        </w:rPr>
        <w:t>Por qué USD 1.000:</w:t>
      </w:r>
      <w:r/>
    </w:p>
    <w:p>
      <w:r>
        <w:t>- Capital mínimo simbólico para constitución.</w:t>
      </w:r>
    </w:p>
    <w:p>
      <w:r>
        <w:t>- Aprovecha valuación implícita de USD 0,001 por acción para dilución limpia post-SAFE.</w:t>
      </w:r>
    </w:p>
    <w:p>
      <w:r>
        <w:t>- Costo de constitución se mantiene bajo.</w:t>
      </w:r>
    </w:p>
    <w:p>
      <w:pPr>
        <w:pStyle w:val="Heading2"/>
      </w:pPr>
      <w:r>
        <w:t>1.4 Trámites de constitución (~30 días, USD 1.150)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Costo 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Solicitud de denominación en Registro Mercantil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Acta constitutiva + estatutos (con abogado)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Registro Mercantil del Estado Carabobo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RIF empresa (SENIAT)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Apertura cuenta bancaria empresa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Sello digital + factura digital SENIAT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Registro de marca SAPI (paralelo)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60-90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**~30 días + 60-90 marca SAPI**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**~1.450**</w:t>
            </w:r>
          </w:p>
        </w:tc>
      </w:tr>
    </w:tbl>
    <w:p/>
    <w:p>
      <w:r>
        <w:rPr>
          <w:i/>
        </w:rPr>
        <w:t>**Nota:** esta tabla detalla cada trámite (total **~USD 1.450** con SAPI y sello digital en la misma lista). El [PRESUPUESTO_12_MESES_REFERENCIA.md](PRESUPUESTO_12_MESES_REFERENCIA.md) §2.1 agrupa los trámites operativos prioritarios en el **one-shot Lean de USD 1.150** (constitución + RIF + apertura cuenta + sello; SAPI puede correr en paralelo como gasto diferido). El delta (**~USD 300**) corresponde principalmente a **SAPI** y partidas opcionales según avance del trámite.</w:t>
      </w:r>
    </w:p>
    <w:p>
      <w:r>
        <w:t>&gt;</w:t>
      </w:r>
    </w:p>
    <w:p>
      <w:r>
        <w:rPr>
          <w:i/>
        </w:rPr>
        <w:t>**Lectura CFO (1.150 vs 1.450):** **constitución operativa prioritaria** (C.A. + RIF + cuenta + sello, **sin** contabilizar SAPI como caja obligatoria el mes cero) **USD ~1.100–1.150**. **Con SAPI** en la misma ventana de planificación: **~USD 1.450**. El presupuesto §2.1 usa **USD 1.150** como **one-shot prioritario** al arranque; **SAPI** puede tratarse como **gasto diferido / paralelo** según caja y dictamen contable.</w:t>
      </w:r>
    </w:p>
    <w:p>
      <w:r>
        <w:rPr>
          <w:i/>
        </w:rPr>
        <w:t>**Excel v4 (Detallado de la inversión.):** el modelo financiero usa **~USD 5.050** para constitución de **Zonix Pharma C.A.** (Registro+acta **1.200**, SENIAT **600**, municipales HQ **1.500**, bomberos **1.100**, banco **100**, sello **200**, SAPI **350**). Referencia de **costos reales de trámites VE** tomada del template Pizza QLQ — **solo partidas aplicables** a startup tech con local operativo; **excluye** BPF, CPE y permisos sanitarios de operación farmacéutica. Validar con abogado **[PENDIENTE]** antes de pitch.</w:t>
      </w:r>
    </w:p>
    <w:p>
      <w:pPr>
        <w:pStyle w:val="Heading2"/>
      </w:pPr>
      <w:r>
        <w:t>1.5 Propiedad intelectual y cesión de derechos (PIIA) — **bloquea wire**</w:t>
      </w:r>
    </w:p>
    <w:p>
      <w:r>
        <w:rPr>
          <w:i/>
        </w:rPr>
        <w:t>**[PENDIENTE abogado — condición suspensiva del wire]**</w:t>
      </w:r>
    </w:p>
    <w:p>
      <w:r/>
      <w:r>
        <w:rPr>
          <w:b/>
        </w:rPr>
        <w:t>Problema:</w:t>
      </w:r>
      <w:r>
        <w:t xml:space="preserve"> el código (Laravel backend + Flutter frontend), la marca "Zonix Pharma", los dominios y el know-how desarrollados pre-constitución pertenecen actualmente al </w:t>
      </w:r>
      <w:r>
        <w:rPr>
          <w:b/>
        </w:rPr>
        <w:t>founder personalmente</w:t>
      </w:r>
      <w:r>
        <w:t>, no a ZONIX PHARMA C.A. Un VC invierte en la C.A., no en el founder; sin cesión formal, el activo central del SAFE queda sin titularidad clara y el cierre se bloquea.</w:t>
      </w:r>
    </w:p>
    <w:p>
      <w:r/>
      <w:r>
        <w:rPr>
          <w:b/>
        </w:rPr>
        <w:t>Inventario de activos intangibles a ceder: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Código backend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Repositorios ZonixPharma-Backend (Laravel 10, PHP 8.1, MySQL, Sanctum)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 GitHub, sin cesión a C.A.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Código 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Repositorios ZonixPharma-Front (Flutter, Dart, Provider)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 GitHub, sin cesión a C.A.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Marca "Zonix Pharma"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Símbolo Z geométrico + wordmark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Registro SAPI en trámite (§4.5)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Dominios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zonixpharma.com y variantes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[PENDIENTE inventario]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Know-how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Modelo de negocio, procesos, documentación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 repos, sin cesión</w:t>
            </w:r>
          </w:p>
        </w:tc>
      </w:tr>
    </w:tbl>
    <w:p/>
    <w:p>
      <w:r/>
      <w:r>
        <w:rPr>
          <w:b/>
        </w:rPr>
        <w:t>Mecanismo de cesión (a elegir con abogado):</w:t>
      </w:r>
      <w:r/>
    </w:p>
    <w:p>
      <w:r>
        <w:t xml:space="preserve">1. </w:t>
      </w:r>
      <w:r>
        <w:rPr>
          <w:b/>
        </w:rPr>
        <w:t>PIIA (Proprietary Information and Inventions Assignment Agreement):</w:t>
      </w:r>
      <w:r>
        <w:t xml:space="preserve"> el founder cede al constituir la C.A. (o como </w:t>
      </w:r>
      <w:r>
        <w:rPr>
          <w:b/>
        </w:rPr>
        <w:t>condición suspensiva del wire</w:t>
      </w:r>
      <w:r>
        <w:t>) todos los derechos sobre código, marca, dominios y know-how desarrollados pre y post-incorporación, a favor de ZONIX PHARMA C.A.</w:t>
      </w:r>
    </w:p>
    <w:p>
      <w:r>
        <w:t xml:space="preserve">2. </w:t>
      </w:r>
      <w:r>
        <w:rPr>
          <w:b/>
        </w:rPr>
        <w:t>Cesión en acta constitutiva:</w:t>
      </w:r>
      <w:r>
        <w:t xml:space="preserve"> cláusula explícita en estatutos de la C.A. que declara los aportes intangibles del founder como capital en especie.</w:t>
      </w:r>
    </w:p>
    <w:p>
      <w:r>
        <w:t xml:space="preserve">3. </w:t>
      </w:r>
      <w:r>
        <w:rPr>
          <w:b/>
        </w:rPr>
        <w:t>Lista de licencias OSS:</w:t>
      </w:r>
      <w:r>
        <w:t xml:space="preserve"> inventario de dependencias open-source (composer.json, pubspec.yaml) con verificación de compatibilidad de licencias (MIT, Apache 2.0, BSD — evitar GPL contaminante en stack comercial).</w:t>
      </w:r>
    </w:p>
    <w:p>
      <w:r/>
      <w:r>
        <w:rPr>
          <w:b/>
        </w:rPr>
        <w:t>Gate de cierre:</w:t>
      </w:r>
      <w:r>
        <w:t xml:space="preserve"> ningún wire se ejecuta sin PIIA firmada + inventario de activos en data room. Checkbox P0 en [CHECKLIST_PRE_INVERSOR.md](CHECKLIST_PRE_INVERSOR.md) §3.</w:t>
      </w:r>
    </w:p>
    <w:p>
      <w:pPr>
        <w:pStyle w:val="Heading1"/>
      </w:pPr>
      <w:r>
        <w:t>2. Instrumento de inversión: SAFE post-money cap</w:t>
      </w:r>
    </w:p>
    <w:p>
      <w:pPr>
        <w:pStyle w:val="Heading2"/>
      </w:pPr>
      <w:r>
        <w:t>2.1 Qué es un SAFE post-money cap</w:t>
      </w:r>
    </w:p>
    <w:p>
      <w:r/>
      <w:r>
        <w:rPr>
          <w:b/>
        </w:rPr>
        <w:t>SAFE</w:t>
      </w:r>
      <w:r>
        <w:t xml:space="preserve"> = Simple Agreement for Future Equity. Es un contrato de Y Combinator (template público y gratuito en [`https://www.ycombinator.com/documents`](https://www.ycombinator.com/documents)) que dice:</w:t>
      </w:r>
    </w:p>
    <w:p>
      <w:r>
        <w:rPr>
          <w:i/>
        </w:rPr>
        <w:t>"Yo, inversor, te doy **USD 237.412** hoy (canon Excel v4). Tú, founder, prometes que cuando levantes la próxima ronda con valuación de mercado, mi inversión convierte automáticamente en acciones, con un cap (techo de valuación) o un descuento — lo que me dé más equity."</w:t>
      </w:r>
    </w:p>
    <w:p>
      <w:r/>
      <w:r>
        <w:rPr>
          <w:b/>
        </w:rPr>
        <w:t>Por qué post-money cap (no pre-money):</w:t>
      </w:r>
      <w:r/>
    </w:p>
    <w:p>
      <w:r>
        <w:t>- Versión moderna del SAFE (YC 2018 onwards). Más clara para founder e inversor.</w:t>
      </w:r>
    </w:p>
    <w:p>
      <w:r>
        <w:t xml:space="preserve">- El cap es la valuación post-money (después de la inversión nueva). El inversor sabe </w:t>
      </w:r>
      <w:r>
        <w:rPr>
          <w:b/>
        </w:rPr>
        <w:t>exactamente</w:t>
      </w:r>
      <w:r>
        <w:t xml:space="preserve"> qué % de equity está comprando hoy.</w:t>
      </w:r>
    </w:p>
    <w:p>
      <w:pPr>
        <w:pStyle w:val="Heading2"/>
      </w:pPr>
      <w:r>
        <w:t>2.2 Términos propuestos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 (canon v4)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Monto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Post-money valuation cap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implícito si cap aplica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 *(237.412 / 600k)*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Discount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0% (sin descuento adicional al cap)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Most Favored Nation (MFN)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Sí (cláusula estándar)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Pro-rata rights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Opcional, según preferencia del inversor</w:t>
            </w:r>
          </w:p>
        </w:tc>
      </w:tr>
    </w:tbl>
    <w:p/>
    <w:p>
      <w:r/>
      <w:r>
        <w:rPr>
          <w:b/>
        </w:rPr>
        <w:t>Lectura para el inversor (SAFE post-money YC, simplificado — counsel confirma):</w:t>
      </w:r>
      <w:r/>
    </w:p>
    <w:p>
      <w:r>
        <w:t xml:space="preserve">- Si la próxima ronda valora </w:t>
      </w:r>
      <w:r>
        <w:rPr>
          <w:b/>
        </w:rPr>
        <w:t>por encima</w:t>
      </w:r>
      <w:r>
        <w:t xml:space="preserve"> del cap (p. ej. USD 1.000.000), el SAFE convierte como si la valuación fuera el </w:t>
      </w:r>
      <w:r>
        <w:rPr>
          <w:b/>
        </w:rPr>
        <w:t>cap USD 600.000</w:t>
      </w:r>
      <w:r>
        <w:t xml:space="preserve"> → el inversor recibe ~</w:t>
      </w:r>
      <w:r>
        <w:rPr>
          <w:b/>
        </w:rPr>
        <w:t>39,57%</w:t>
      </w:r>
      <w:r>
        <w:t xml:space="preserve"> (237.412 / 600k) al convertir.</w:t>
      </w:r>
    </w:p>
    <w:p>
      <w:r>
        <w:t xml:space="preserve">- Si la próxima ronda valora </w:t>
      </w:r>
      <w:r>
        <w:rPr>
          <w:b/>
        </w:rPr>
        <w:t>por debajo</w:t>
      </w:r>
      <w:r>
        <w:t xml:space="preserve"> del cap, el precio de conversión suele ser el de esa ronda → el inversor recibe </w:t>
      </w:r>
      <w:r>
        <w:rPr>
          <w:b/>
        </w:rPr>
        <w:t>más</w:t>
      </w:r>
      <w:r>
        <w:t xml:space="preserve"> del ~39,57% (más acciones por el mismo USD 237.412). El cap </w:t>
      </w:r>
      <w:r>
        <w:rPr>
          <w:b/>
        </w:rPr>
        <w:t>techa</w:t>
      </w:r>
      <w:r>
        <w:t xml:space="preserve"> el upside de valuación alta; no reduce el % cuando la ronda es más barata.</w:t>
      </w:r>
    </w:p>
    <w:p>
      <w:pPr>
        <w:pStyle w:val="Heading2"/>
      </w:pPr>
      <w:r>
        <w:t>2.3 Términos del SAFE (canon v4)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 (canon v4)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Monto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Post-money valuation cap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implícito si cap aplica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 *(237.412 / 600k)*</w:t>
            </w:r>
          </w:p>
        </w:tc>
      </w:tr>
    </w:tbl>
    <w:p/>
    <w:p>
      <w:pPr>
        <w:pStyle w:val="Heading2"/>
      </w:pPr>
      <w:r>
        <w:t>2.3.1 Nota sobre el cap</w:t>
      </w:r>
    </w:p>
    <w:p>
      <w:r>
        <w:t xml:space="preserve">El benchmark típico de pre-seed LatAm 2025-2026 para tickets USD 50-100k está en torno a </w:t>
      </w:r>
      <w:r>
        <w:rPr>
          <w:b/>
        </w:rPr>
        <w:t>10-12% equity</w:t>
      </w:r>
      <w:r>
        <w:t xml:space="preserve"> ([fuente: LatAm VC Report 2024-2025](https://www.endeavor.org.mx/) y reportes Crunchbase — </w:t>
      </w:r>
      <w:r>
        <w:rPr>
          <w:b/>
        </w:rPr>
        <w:t>[verificar fuente primaria 2026]</w:t>
      </w:r>
      <w:r>
        <w:t>). El cap de Zonix Pharma (</w:t>
      </w:r>
      <w:r>
        <w:rPr>
          <w:b/>
        </w:rPr>
        <w:t>USD 237.412</w:t>
      </w:r>
      <w:r>
        <w:t xml:space="preserve"> / cap </w:t>
      </w:r>
      <w:r>
        <w:rPr>
          <w:b/>
        </w:rPr>
        <w:t>USD 600k</w:t>
      </w:r>
      <w:r>
        <w:t xml:space="preserve">) da </w:t>
      </w:r>
      <w:r>
        <w:rPr>
          <w:b/>
        </w:rPr>
        <w:t>~39,57%</w:t>
      </w:r>
      <w:r>
        <w:t xml:space="preserve">, por encima del benchmark LatAm 10–12% — coherente con ticket mayor (Fase 0 + burn + reserva Excel), </w:t>
      </w:r>
      <w:r>
        <w:rPr>
          <w:b/>
        </w:rPr>
        <w:t>Co-CEO</w:t>
      </w:r>
      <w:r>
        <w:t xml:space="preserve">, </w:t>
      </w:r>
      <w:r>
        <w:rPr>
          <w:b/>
        </w:rPr>
        <w:t>4× Sales</w:t>
      </w:r>
      <w:r>
        <w:t xml:space="preserve">, Dev en nómina (ver [MODELO_FINANCIERO_ZONIX_PHARMA.xlsx](MODELO_FINANCIERO_ZONIX_PHARMA.xlsx)). </w:t>
      </w:r>
      <w:r>
        <w:rPr>
          <w:b/>
        </w:rPr>
        <w:t>El ask vigente es único: USD 237.412 @ cap 600k → ~39,57%.</w:t>
      </w:r>
      <w:r/>
    </w:p>
    <w:p>
      <w:r/>
      <w:r>
        <w:rPr>
          <w:b/>
        </w:rPr>
        <w:t>Decisión consciente del founder:</w:t>
      </w:r>
      <w:r>
        <w:t xml:space="preserve"> este cap es </w:t>
      </w:r>
      <w:r>
        <w:rPr>
          <w:b/>
        </w:rPr>
        <w:t>intencional como señal de confianza al primer inversor</w:t>
      </w:r>
      <w:r>
        <w:t xml:space="preserve"> (lead investor del SAFE). El piloto tiene mucho más riesgo que un negocio post-PMF; el inversor que entra ahora merece compensación por el riesgo asumido.</w:t>
      </w:r>
    </w:p>
    <w:p>
      <w:r/>
      <w:r>
        <w:rPr>
          <w:b/>
        </w:rPr>
        <w:t>Implicación práctica:</w:t>
      </w:r>
      <w:r>
        <w:t xml:space="preserve"> si Zonix Pharma supera el plan (escenario optimista), el primer inversor obtiene retorno desproporcionadamente alto. Eso está bien — es exactamente el deal pre-seed.</w:t>
      </w:r>
    </w:p>
    <w:p>
      <w:pPr>
        <w:pStyle w:val="Heading2"/>
      </w:pPr>
      <w:r>
        <w:t>2.4 Cláusulas adicionales recomendadas</w:t>
      </w:r>
    </w:p>
    <w:p>
      <w:r>
        <w:t xml:space="preserve">1. </w:t>
      </w:r>
      <w:r>
        <w:rPr>
          <w:b/>
        </w:rPr>
        <w:t>Vesting del founder:</w:t>
      </w:r>
      <w:r>
        <w:t xml:space="preserve"> cláusula de re-vesting si </w:t>
      </w:r>
      <w:r>
        <w:rPr>
          <w:b/>
        </w:rPr>
        <w:t>Zonix Pharma</w:t>
      </w:r>
      <w:r>
        <w:t xml:space="preserve"> levanta Serie A (founder vesteando 4 años con cliff 1 año desde la Serie A). Protege al inversor.</w:t>
      </w:r>
    </w:p>
    <w:p>
      <w:r>
        <w:t xml:space="preserve">2. </w:t>
      </w:r>
      <w:r>
        <w:rPr>
          <w:b/>
        </w:rPr>
        <w:t>Información al inversor (information rights):</w:t>
      </w:r>
      <w:r>
        <w:t xml:space="preserve"> reportes </w:t>
      </w:r>
      <w:r>
        <w:rPr>
          <w:b/>
        </w:rPr>
        <w:t>mensuales</w:t>
      </w:r>
      <w:r>
        <w:t xml:space="preserve"> los </w:t>
      </w:r>
      <w:r>
        <w:rPr>
          <w:b/>
        </w:rPr>
        <w:t>primeros 6 meses</w:t>
      </w:r>
      <w:r>
        <w:t xml:space="preserve"> pos-cierre; </w:t>
      </w:r>
      <w:r>
        <w:rPr>
          <w:b/>
        </w:rPr>
        <w:t>trimestrales</w:t>
      </w:r>
      <w:r>
        <w:t xml:space="preserve"> después. Formato: email + adjuntos acordados (métricas §6 [PROYECCION_FINANCIERA_12M.md](PROYECCION_FINANCIERA_12M.md)).</w:t>
      </w:r>
    </w:p>
    <w:p>
      <w:r>
        <w:t xml:space="preserve">3. </w:t>
      </w:r>
      <w:r>
        <w:rPr>
          <w:b/>
        </w:rPr>
        <w:t>Derechos de observación (opcional):</w:t>
      </w:r>
      <w:r>
        <w:t xml:space="preserve"> </w:t>
      </w:r>
      <w:r>
        <w:rPr>
          <w:b/>
        </w:rPr>
        <w:t>board observer</w:t>
      </w:r>
      <w:r>
        <w:t xml:space="preserve"> sin voto en junta — solo si el ticket ≥ umbral acordado (ej. lead USD 50k+); no administración operativa diaria.</w:t>
      </w:r>
    </w:p>
    <w:p>
      <w:r>
        <w:t xml:space="preserve">4. </w:t>
      </w:r>
      <w:r>
        <w:rPr>
          <w:b/>
        </w:rPr>
        <w:t>Asuntos reservados</w:t>
      </w:r>
      <w:r>
        <w:t xml:space="preserve"> (requieren notificación previa al inversor por escrito si impactan valor/dilución): cambio de control; nueva emisión que diluya </w:t>
      </w:r>
      <w:r>
        <w:rPr>
          <w:b/>
        </w:rPr>
        <w:t>&gt; 10%</w:t>
      </w:r>
      <w:r>
        <w:t xml:space="preserve"> pre-money en una sola ronda; remuneración anual del founder por encima de umbral definido; pivot que abandone vertical farmacéutico.</w:t>
      </w:r>
    </w:p>
    <w:p>
      <w:r>
        <w:t xml:space="preserve">5. </w:t>
      </w:r>
      <w:r>
        <w:rPr>
          <w:b/>
        </w:rPr>
        <w:t>Right of First Refusal (ROFR):</w:t>
      </w:r>
      <w:r>
        <w:t xml:space="preserve"> el inversor del SAFE tiene derecho a participar en la siguiente ronda hasta mantener su % proporcional.</w:t>
      </w:r>
    </w:p>
    <w:p>
      <w:r>
        <w:t xml:space="preserve">6. </w:t>
      </w:r>
      <w:r>
        <w:rPr>
          <w:b/>
        </w:rPr>
        <w:t>MFN (Most Favored Nation):</w:t>
      </w:r>
      <w:r>
        <w:t xml:space="preserve"> si </w:t>
      </w:r>
      <w:r>
        <w:rPr>
          <w:b/>
        </w:rPr>
        <w:t>Zonix Pharma</w:t>
      </w:r>
      <w:r>
        <w:t xml:space="preserve"> emite un SAFE futuro con mejores términos, el inversor actual recibe los mismos términos. Estándar. </w:t>
      </w:r>
      <w:r>
        <w:rPr>
          <w:b/>
        </w:rPr>
        <w:t>No confundir</w:t>
      </w:r>
      <w:r>
        <w:t xml:space="preserve"> con la cláusula de «nación más favorecida» </w:t>
      </w:r>
      <w:r>
        <w:rPr>
          <w:b/>
        </w:rPr>
        <w:t>corporativa</w:t>
      </w:r>
      <w:r>
        <w:t xml:space="preserve"> (garantizar a un socio estratégico el mejor trato comercial vs terceros) — esa es un </w:t>
      </w:r>
      <w:r>
        <w:rPr>
          <w:b/>
        </w:rPr>
        <w:t>red flag</w:t>
      </w:r>
      <w:r>
        <w:t xml:space="preserve"> de inversor corporativo, ver §2.6 y [CHECKLIST_PRE_INVERSOR.md](CHECKLIST_PRE_INVERSOR.md) §7.8.</w:t>
      </w:r>
    </w:p>
    <w:p>
      <w:r>
        <w:t xml:space="preserve">7. </w:t>
      </w:r>
      <w:r>
        <w:rPr>
          <w:b/>
        </w:rPr>
        <w:t>Restricciones de transferencia:</w:t>
      </w:r>
      <w:r>
        <w:t xml:space="preserve"> el SAFE no se puede vender a terceros sin consentimiento del founder.</w:t>
      </w:r>
    </w:p>
    <w:p>
      <w:pPr>
        <w:pStyle w:val="Heading2"/>
      </w:pPr>
      <w:r>
        <w:t>2.6 Inversor corporativo / estratégico (cadena, distribuidor, agregador)</w:t>
      </w:r>
    </w:p>
    <w:p>
      <w:r>
        <w:t xml:space="preserve">Este pack está diseñado para </w:t>
      </w:r>
      <w:r>
        <w:rPr>
          <w:b/>
        </w:rPr>
        <w:t>ángel / fondo pre-seed</w:t>
      </w:r>
      <w:r>
        <w:t xml:space="preserve">. Si el interesado es un </w:t>
      </w:r>
      <w:r>
        <w:rPr>
          <w:b/>
        </w:rPr>
        <w:t>corporativo</w:t>
      </w:r>
      <w:r>
        <w:t xml:space="preserve"> (Steve Blank, UniMOOC M7: la gran empresa invierte para que </w:t>
      </w:r>
      <w:r>
        <w:rPr>
          <w:b/>
        </w:rPr>
        <w:t>su</w:t>
      </w:r>
      <w:r>
        <w:t xml:space="preserve"> negocio crezca):</w:t>
      </w:r>
    </w:p>
    <w:p>
      <w:r>
        <w:t xml:space="preserve">- </w:t>
      </w:r>
      <w:r>
        <w:rPr>
          <w:b/>
        </w:rPr>
        <w:t>Red flags en term sheet</w:t>
      </w:r>
      <w:r>
        <w:t xml:space="preserve"> — no aceptar verbalmente, derivar a abogado: exclusividad (zona/categoría/tiempo), nación más favorecida comercial, acceso a tecnología/datos como condición, derecho de primera oferta o veto en M&amp;A/Serie A. Tabla completa: [CHECKLIST_PRE_INVERSOR.md](CHECKLIST_PRE_INVERSOR.md) §7.8.</w:t>
      </w:r>
    </w:p>
    <w:p>
      <w:r>
        <w:t xml:space="preserve">- </w:t>
      </w:r>
      <w:r>
        <w:rPr>
          <w:b/>
        </w:rPr>
        <w:t>Datos de salud nunca</w:t>
      </w:r>
      <w:r>
        <w:t xml:space="preserve"> son moneda de negociación (§4.4; [PLAN_MODULO_OPERATIVO_CLAVE.md](PLAN_MODULO_OPERATIVO_CLAVE.md) §14).</w:t>
      </w:r>
    </w:p>
    <w:p>
      <w:r>
        <w:t xml:space="preserve">- Todo término corporativo se cierra con </w:t>
      </w:r>
      <w:r>
        <w:rPr>
          <w:b/>
        </w:rPr>
        <w:t>abogado cross-border</w:t>
      </w:r>
      <w:r>
        <w:t xml:space="preserve"> `[PENDIENTE abogado]` — skill de checklist: `zonix-legal-contracts-ve`.</w:t>
      </w:r>
    </w:p>
    <w:p>
      <w:pPr>
        <w:pStyle w:val="Heading2"/>
      </w:pPr>
      <w:r>
        <w:t>2.5 Documento físico</w:t>
      </w:r>
    </w:p>
    <w:p>
      <w:r>
        <w:t xml:space="preserve">- </w:t>
      </w:r>
      <w:r>
        <w:rPr>
          <w:b/>
        </w:rPr>
        <w:t>Template:</w:t>
      </w:r>
      <w:r>
        <w:t xml:space="preserve"> Y Combinator post-money cap SAFE (template público).</w:t>
      </w:r>
    </w:p>
    <w:p>
      <w:r>
        <w:t xml:space="preserve">- </w:t>
      </w:r>
      <w:r>
        <w:rPr>
          <w:b/>
        </w:rPr>
        <w:t>Adaptación:</w:t>
      </w:r>
      <w:r>
        <w:t xml:space="preserve"> abogado venezolano adapta a marco legal local (gobernabilidad, jurisdicción, idioma — bilingüe español/inglés recomendado).</w:t>
      </w:r>
    </w:p>
    <w:p>
      <w:r>
        <w:t xml:space="preserve">- </w:t>
      </w:r>
      <w:r>
        <w:rPr>
          <w:b/>
        </w:rPr>
        <w:t>Costo de adaptación legal:</w:t>
      </w:r>
      <w:r>
        <w:t xml:space="preserve"> USD 200-400 one-shot.</w:t>
      </w:r>
    </w:p>
    <w:p>
      <w:r>
        <w:t xml:space="preserve">- </w:t>
      </w:r>
      <w:r>
        <w:rPr>
          <w:b/>
        </w:rPr>
        <w:t>Firma:</w:t>
      </w:r>
      <w:r>
        <w:t xml:space="preserve"> electrónica con DocuSign o equivalente. Notariado VE opcional pero recomendado.</w:t>
      </w:r>
    </w:p>
    <w:p>
      <w:pPr>
        <w:pStyle w:val="Heading1"/>
      </w:pPr>
      <w:r>
        <w:t>3. Cap table proyectado</w:t>
      </w:r>
    </w:p>
    <w:p>
      <w:pPr>
        <w:pStyle w:val="Heading2"/>
      </w:pPr>
      <w:r>
        <w:t>3.1 Pre-SAFE (hoy)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Acciones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 equity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1.000.000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100,00%</w:t>
            </w:r>
          </w:p>
        </w:tc>
      </w:tr>
    </w:tbl>
    <w:p/>
    <w:p>
      <w:pPr>
        <w:pStyle w:val="Heading2"/>
      </w:pPr>
      <w:r>
        <w:t>3.2 Post-SAFE (canon v4, USD 237.412 @ cap USD 600k)</w:t>
      </w:r>
    </w:p>
    <w:p>
      <w:r>
        <w:rPr>
          <w:i/>
        </w:rPr>
        <w:t>**Nota:** el SAFE NO crea acciones hoy. Sólo al momento de conversión (próxima ronda con valuación de mercado).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Acciones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equity hoy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equity post-conversión SAFE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1.000.000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100,00%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~60,43% (si cap aplica)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Inversor SAFE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(todavía)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0,00%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~39,57% (al momento de conversión)</w:t>
            </w:r>
          </w:p>
        </w:tc>
      </w:tr>
    </w:tbl>
    <w:p/>
    <w:p>
      <w:pPr>
        <w:pStyle w:val="Heading2"/>
      </w:pPr>
      <w:r>
        <w:t>3.3 Cap table en próxima ronda Serie A (escenario hipotético, mes 24)</w:t>
      </w:r>
    </w:p>
    <w:p>
      <w:r>
        <w:rPr>
          <w:i/>
        </w:rPr>
        <w:t>**[RETIRADO — cap table fully diluted en revisión por abogado; NO VÁLIDO PARA DD]**</w:t>
      </w:r>
    </w:p>
    <w:p>
      <w:r>
        <w:t>&gt;</w:t>
      </w:r>
    </w:p>
    <w:p>
      <w:r>
        <w:rPr>
          <w:i/>
        </w:rPr>
        <w:t>La tabla previa de % post-Serie A sumaba **116,47%** (Founder 51,34% + SAFE 39,57% + Serie A 20% + Pool 10%), lo cual es matemáticamente imposible. El error provenía de sumar % sin mecánicas de dilución; **no** reutilizar ese modelo.</w:t>
      </w:r>
    </w:p>
    <w:p>
      <w:r/>
      <w:r>
        <w:rPr>
          <w:b/>
        </w:rPr>
        <w:t>Hipótesis Serie A:</w:t>
      </w:r>
      <w:r>
        <w:t xml:space="preserve"> USD 500.000 a valuación pre-money USD 2.000.000 → post-money USD 2.500.000.</w:t>
      </w:r>
    </w:p>
    <w:p>
      <w:r/>
      <w:r>
        <w:rPr>
          <w:b/>
        </w:rPr>
        <w:t>Interpretación SAFE post-money cap (YC — lectura operativa, counsel confirma):</w:t>
      </w:r>
      <w:r>
        <w:t xml:space="preserve"> al </w:t>
      </w:r>
      <w:r>
        <w:rPr>
          <w:b/>
        </w:rPr>
        <w:t>convertir</w:t>
      </w:r>
      <w:r>
        <w:t>, el SAFE apunta a ~</w:t>
      </w:r>
      <w:r>
        <w:rPr>
          <w:b/>
        </w:rPr>
        <w:t>39,57%</w:t>
      </w:r>
      <w:r>
        <w:t xml:space="preserve"> del company (237.412 / 600k) en el momento de conversión según el template. El </w:t>
      </w:r>
      <w:r>
        <w:rPr>
          <w:b/>
        </w:rPr>
        <w:t>dinero nuevo</w:t>
      </w:r>
      <w:r>
        <w:t xml:space="preserve"> de la Serie A (y ampliaciones de pool) </w:t>
      </w:r>
      <w:r>
        <w:rPr>
          <w:b/>
        </w:rPr>
        <w:t>también diluye</w:t>
      </w:r>
      <w:r>
        <w:t xml:space="preserve"> al holder ya convertido: el ~39,57% </w:t>
      </w:r>
      <w:r>
        <w:rPr>
          <w:b/>
        </w:rPr>
        <w:t>no</w:t>
      </w:r>
      <w:r>
        <w:t xml:space="preserve"> queda “congelado” para siempre post–Serie A. Los números exactos de acciones y el orden pool pre/post money los cierra el </w:t>
      </w:r>
      <w:r>
        <w:rPr>
          <w:b/>
        </w:rPr>
        <w:t>abogado</w:t>
      </w:r>
      <w:r>
        <w:t>.</w:t>
      </w:r>
    </w:p>
    <w:p>
      <w:r/>
      <w:r>
        <w:rPr>
          <w:b/>
        </w:rPr>
        <w:t>Lo que sí es válido declarar (sin tabla numérica hasta revisión counsel):</w:t>
      </w:r>
      <w:r/>
    </w:p>
    <w:p>
      <w:r>
        <w:t xml:space="preserve">- SAFE post-money: ancla de conversión </w:t>
      </w:r>
      <w:r>
        <w:rPr>
          <w:b/>
        </w:rPr>
        <w:t>~39,57%</w:t>
      </w:r>
      <w:r>
        <w:t xml:space="preserve"> (237.412 / 600k) </w:t>
      </w:r>
      <w:r>
        <w:rPr>
          <w:b/>
        </w:rPr>
        <w:t>al convertir</w:t>
      </w:r>
      <w:r>
        <w:t>.</w:t>
      </w:r>
    </w:p>
    <w:p>
      <w:r>
        <w:t xml:space="preserve">- Post Serie A + pool 10%: el founder queda </w:t>
      </w:r>
      <w:r>
        <w:rPr>
          <w:b/>
        </w:rPr>
        <w:t>&lt;50%</w:t>
      </w:r>
      <w:r>
        <w:t xml:space="preserve"> en escenarios típicos (estimación ilustrativa, recalcular con abogado).</w:t>
      </w:r>
    </w:p>
    <w:p>
      <w:r>
        <w:t xml:space="preserve">- Si se busca founder &gt;50% post Serie A, hay que </w:t>
      </w:r>
      <w:r>
        <w:rPr>
          <w:b/>
        </w:rPr>
        <w:t>subir el cap</w:t>
      </w:r>
      <w:r>
        <w:t xml:space="preserve"> o </w:t>
      </w:r>
      <w:r>
        <w:rPr>
          <w:b/>
        </w:rPr>
        <w:t>reducir el ask</w:t>
      </w:r>
      <w:r>
        <w:t>.</w:t>
      </w:r>
    </w:p>
    <w:p>
      <w:r/>
      <w:r>
        <w:rPr>
          <w:b/>
        </w:rPr>
        <w:t>Entregable formal:</w:t>
      </w:r>
      <w:r>
        <w:t xml:space="preserve"> cap table fully diluted con acciones exactas, orden de emisión y pool pre/post money = producto del </w:t>
      </w:r>
      <w:r>
        <w:rPr>
          <w:b/>
        </w:rPr>
        <w:t>abogado</w:t>
      </w:r>
      <w:r>
        <w:t xml:space="preserve"> al cerrar SAFE + Serie A. Hasta entonces, ningún cap table numérico circula en data room.</w:t>
      </w:r>
    </w:p>
    <w:p>
      <w:pPr>
        <w:pStyle w:val="Heading2"/>
      </w:pPr>
      <w:r>
        <w:t>3.4 Cap table en escenario optimista (Serie B + IPO o exit en año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% final aproximado en exit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~30-40%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~7-10% (con dilución de 2 rondas posteriores)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Serie 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~12-15%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Serie 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~15-20%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Pool empleados (acumulado)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~15-20%</w:t>
            </w:r>
          </w:p>
        </w:tc>
      </w:tr>
    </w:tbl>
    <w:p/>
    <w:p>
      <w:r/>
      <w:r>
        <w:rPr>
          <w:b/>
        </w:rPr>
        <w:t>Lectura:</w:t>
      </w:r>
      <w:r>
        <w:t xml:space="preserve"> un inversor SAFE con </w:t>
      </w:r>
      <w:r>
        <w:rPr>
          <w:b/>
        </w:rPr>
        <w:t>~7–10%</w:t>
      </w:r>
      <w:r>
        <w:t xml:space="preserve"> final (tras dilución de rondas posteriores) en exit a USD 50M tendría ~</w:t>
      </w:r>
      <w:r>
        <w:rPr>
          <w:b/>
        </w:rPr>
        <w:t>USD 3,5–5,0M</w:t>
      </w:r>
      <w:r>
        <w:t xml:space="preserve"> ilustrativo (7–10% × 50M). Cifras de exit = hipótesis, no forecast.</w:t>
      </w:r>
    </w:p>
    <w:p>
      <w:pPr>
        <w:pStyle w:val="Heading1"/>
      </w:pPr>
      <w:r>
        <w:t>4. Marco legal venezolano (resumen)</w:t>
      </w:r>
    </w:p>
    <w:p>
      <w:pPr>
        <w:pStyle w:val="Heading2"/>
      </w:pPr>
      <w:r>
        <w:t>4.1 Obligaciones SENIAT</w:t>
      </w:r>
    </w:p>
    <w:p>
      <w:r>
        <w:t>- IVA mensual (16%).</w:t>
      </w:r>
    </w:p>
    <w:p>
      <w:r>
        <w:t>- ISLR anual.</w:t>
      </w:r>
    </w:p>
    <w:p>
      <w:r>
        <w:t>- Factura digital habilitada desde mes 2 del piloto.</w:t>
      </w:r>
    </w:p>
    <w:p>
      <w:r>
        <w:t>- Detalle facturación: [PLAN_METODOS_PAGO.md](PLAN_METODOS_PAGO.md) §4; marco VE: [`../PLAN_REGULATORIO_PHARMA_VE.md`](../PLAN_REGULATORIO_PHARMA_VE.md) §6.</w:t>
      </w:r>
    </w:p>
    <w:p>
      <w:pPr>
        <w:pStyle w:val="Heading2"/>
      </w:pPr>
      <w:r>
        <w:t>4.2 Obligaciones laborales</w:t>
      </w:r>
    </w:p>
    <w:p>
      <w:r>
        <w:t>- Si se contrata bajo régimen laboral formal: INCES, Seguro Social, Política Habitacional, vacaciones, utilidades.</w:t>
      </w:r>
    </w:p>
    <w:p>
      <w:r>
        <w:t>- Si se contrata bajo régimen freelance / honorarios profesionales: solo el contrato individual con cada profesional.</w:t>
      </w:r>
    </w:p>
    <w:p>
      <w:r/>
      <w:r>
        <w:rPr>
          <w:b/>
        </w:rPr>
        <w:t>Decisión del piloto:</w:t>
      </w:r>
      <w:r>
        <w:t xml:space="preserve"> todo el equipo bajo régimen freelance / honorarios profesionales en USD. Sin nómina formal en piloto. Migración a régimen formal post-Serie A.</w:t>
      </w:r>
    </w:p>
    <w:p>
      <w:r/>
      <w:r>
        <w:rPr>
          <w:b/>
        </w:rPr>
        <w:t>Mitigación riesgo:</w:t>
      </w:r>
      <w:r>
        <w:t xml:space="preserve"> contrato escrito con cada freelance, factura mensual, registro contable. Asesor laboral revisa anualmente.</w:t>
      </w:r>
    </w:p>
    <w:p>
      <w:r/>
      <w:r>
        <w:rPr>
          <w:b/>
        </w:rPr>
        <w:t>Riesgo laboral (revisión profesional):</w:t>
      </w:r>
      <w:r>
        <w:t xml:space="preserve"> en VE, si una persona </w:t>
      </w:r>
      <w:r>
        <w:rPr>
          <w:b/>
        </w:rPr>
        <w:t>subordinada, con horario fijo y remuneración recurrente</w:t>
      </w:r>
      <w:r>
        <w:t xml:space="preserve"> opera como “freelance”, SUNASS / inspectoría laboral puede </w:t>
      </w:r>
      <w:r>
        <w:rPr>
          <w:b/>
        </w:rPr>
        <w:t>reclasificar</w:t>
      </w:r>
      <w:r>
        <w:t xml:space="preserve"> la relación como laboral (prestaciones retroactivas). Mitigación: (1) contratos de </w:t>
      </w:r>
      <w:r>
        <w:rPr>
          <w:b/>
        </w:rPr>
        <w:t>honorarios profesionales</w:t>
      </w:r>
      <w:r>
        <w:t xml:space="preserve"> con alcance por entregables / mes facturado, sin exclusividad abusiva; (2) </w:t>
      </w:r>
      <w:r>
        <w:rPr>
          <w:b/>
        </w:rPr>
        <w:t>asesor laboral</w:t>
      </w:r>
      <w:r>
        <w:t xml:space="preserve"> revisa plantillas antes de T+30; (3) al escalar a nómina formal, migración planificada con contador.</w:t>
      </w:r>
    </w:p>
    <w:p>
      <w:pPr>
        <w:pStyle w:val="Heading2"/>
      </w:pPr>
      <w:r>
        <w:t>4.3 Regulación específica farmacéutica</w:t>
      </w:r>
    </w:p>
    <w:p>
      <w:r>
        <w:t xml:space="preserve">- </w:t>
      </w:r>
      <w:r>
        <w:rPr>
          <w:b/>
        </w:rPr>
        <w:t>Ley del Ejercicio de la Farmacia (Gaceta Oficial 1971, vigente):</w:t>
      </w:r>
      <w:r>
        <w:t xml:space="preserve"> cada farmacia debe tener farmacéutico colegiado. Zonix Pharma NO contrata farmacéutico interno; cada farmacia afiliada aporta el suyo. *Copy comercial y T&amp;C: [PENDIENTE dictamen abogado + farmacéutico asesor antes de Day-D].*</w:t>
      </w:r>
    </w:p>
    <w:p>
      <w:r>
        <w:t xml:space="preserve">- </w:t>
      </w:r>
      <w:r>
        <w:rPr>
          <w:b/>
        </w:rPr>
        <w:t>MPPS (Ministerio del Poder Popular para la Salud):</w:t>
      </w:r>
      <w:r>
        <w:t xml:space="preserve"> registro de profesionales colegiados. </w:t>
      </w:r>
      <w:r>
        <w:rPr>
          <w:b/>
        </w:rPr>
        <w:t>Zonix Pharma</w:t>
      </w:r>
      <w:r>
        <w:t xml:space="preserve"> verifica número MPPS de cada pharmacist en el onboarding.</w:t>
      </w:r>
    </w:p>
    <w:p>
      <w:r>
        <w:t xml:space="preserve">- </w:t>
      </w:r>
      <w:r>
        <w:rPr>
          <w:b/>
        </w:rPr>
        <w:t>INHRR (Instituto Nacional de Higiene Rafael Rangel):</w:t>
      </w:r>
      <w:r>
        <w:t xml:space="preserve"> registro de medicamentos. Solo se venden productos con INHRR vigente.</w:t>
      </w:r>
    </w:p>
    <w:p>
      <w:r>
        <w:t xml:space="preserve">- </w:t>
      </w:r>
      <w:r>
        <w:rPr>
          <w:b/>
        </w:rPr>
        <w:t>Detalle:</w:t>
      </w:r>
      <w:r>
        <w:t xml:space="preserve"> [`../PLAN_REGULATORIO_PHARMA_VE.md`](../PLAN_REGULATORIO_PHARMA_VE.md).</w:t>
      </w:r>
    </w:p>
    <w:p>
      <w:pPr>
        <w:pStyle w:val="Heading2"/>
      </w:pPr>
      <w:r>
        <w:t>4.4 Datos personales y datos de salud (revisión profesional)</w:t>
      </w:r>
    </w:p>
    <w:p>
      <w:r>
        <w:t xml:space="preserve">- </w:t>
      </w:r>
      <w:r>
        <w:rPr>
          <w:b/>
        </w:rPr>
        <w:t>Ley de Protección de Datos Personales (Venezuela):</w:t>
      </w:r>
      <w:r>
        <w:t xml:space="preserve"> existe </w:t>
      </w:r>
      <w:r>
        <w:rPr>
          <w:b/>
        </w:rPr>
        <w:t>proyecto de ley</w:t>
      </w:r>
      <w:r>
        <w:t xml:space="preserve"> en discusión / tramitación en </w:t>
      </w:r>
      <w:r>
        <w:rPr>
          <w:b/>
        </w:rPr>
        <w:t>2025-2026</w:t>
      </w:r>
      <w:r>
        <w:t xml:space="preserve">; </w:t>
      </w:r>
      <w:r>
        <w:rPr>
          <w:b/>
        </w:rPr>
        <w:t>confirmar estado de promulgación</w:t>
      </w:r>
      <w:r>
        <w:t xml:space="preserve"> con abogado antes de citar “vigencia”. </w:t>
      </w:r>
      <w:r>
        <w:rPr>
          <w:b/>
        </w:rPr>
        <w:t>Mientras tanto:</w:t>
      </w:r>
      <w:r>
        <w:t xml:space="preserve"> aplicar </w:t>
      </w:r>
      <w:r>
        <w:rPr>
          <w:b/>
        </w:rPr>
        <w:t>buenas prácticas</w:t>
      </w:r>
      <w:r>
        <w:t xml:space="preserve"> alineadas a estándares internacionales (consentimiento, minimización, seguridad, derechos titular, encargados/DPA) como ya describe el pack operativo.</w:t>
      </w:r>
    </w:p>
    <w:p>
      <w:r>
        <w:t xml:space="preserve">- </w:t>
      </w:r>
      <w:r>
        <w:rPr>
          <w:b/>
        </w:rPr>
        <w:t>Textos legales</w:t>
      </w:r>
      <w:r>
        <w:t xml:space="preserve"> (aviso de privacidad, T&amp;C app, contrato marco farmacia) deben ser </w:t>
      </w:r>
      <w:r>
        <w:rPr>
          <w:b/>
        </w:rPr>
        <w:t>revisados y firmados</w:t>
      </w:r>
      <w:r>
        <w:t xml:space="preserve"> por abogado antes de Day-D público.</w:t>
      </w:r>
    </w:p>
    <w:p>
      <w:r>
        <w:t xml:space="preserve">- Datos de salud (recetas, historial de medicamentos, inferencias): </w:t>
      </w:r>
      <w:r>
        <w:rPr>
          <w:b/>
        </w:rPr>
        <w:t>categoría sensible</w:t>
      </w:r>
      <w:r>
        <w:t xml:space="preserve">; consentimiento explícito, minimización, retención acotada, medidas técnicas y </w:t>
      </w:r>
      <w:r>
        <w:rPr>
          <w:b/>
        </w:rPr>
        <w:t>registro de tratamiento</w:t>
      </w:r>
      <w:r>
        <w:t>.</w:t>
      </w:r>
    </w:p>
    <w:p>
      <w:r>
        <w:t xml:space="preserve">- Implementación técnica y operativa: [PLAN_MODULO_OPERATIVO_CLAVE.md](PLAN_MODULO_OPERATIVO_CLAVE.md) secciones </w:t>
      </w:r>
      <w:r>
        <w:rPr>
          <w:b/>
        </w:rPr>
        <w:t>14</w:t>
      </w:r>
      <w:r>
        <w:t xml:space="preserve"> (seguridad), </w:t>
      </w:r>
      <w:r>
        <w:rPr>
          <w:b/>
        </w:rPr>
        <w:t>16</w:t>
      </w:r>
      <w:r>
        <w:t xml:space="preserve"> (playbook incidencias), </w:t>
      </w:r>
      <w:r>
        <w:rPr>
          <w:b/>
        </w:rPr>
        <w:t>17</w:t>
      </w:r>
      <w:r>
        <w:t xml:space="preserve"> (modelo de amenazas) y </w:t>
      </w:r>
      <w:r>
        <w:rPr>
          <w:b/>
        </w:rPr>
        <w:t>18</w:t>
      </w:r>
      <w:r>
        <w:t xml:space="preserve"> (QA / listo para piloto).</w:t>
      </w:r>
    </w:p>
    <w:p>
      <w:r>
        <w:t>#### 4.4.1 Roles en el tratamiento (due diligence)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Quién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**Responsable del tratamiento**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**ZONIX PHARMA, C.A.** (una vez constituida)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Decide fines y medios del tratamiento de datos de usuarios de la plataforma.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**Responsables independientes**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**Cada farmacia afiliada**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Tratamiento de datos en **sucursal física** (receta retenida, libro de control, dispensación).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**Encargados del tratamiento (subencargados)**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Proveedores con contrato tipo **DPA** (Data Processing Agreement): hosting (p. ej. VPS), push/notificaciones (**Firebase** FCM), verificación teléfono (**Firebase Phone Auth** / SMS), email transaccional, soporte con acceso acotado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Tratan datos **por cuenta y orden** de Zonix Pharma; lista cerrada y revisión anual.</w:t>
            </w:r>
          </w:p>
        </w:tc>
      </w:tr>
    </w:tbl>
    <w:p/>
    <w:p>
      <w:r>
        <w:rPr>
          <w:i/>
        </w:rPr>
        <w:t>**Pendiente legal:** mantener **registro de actividades de tratamiento** (ART) simple: finalidad, categorías de datos, categorías de interesados, subencargados, plazos de conservación, medidas de seguridad. Elaborar en **mes 1** con abogado (hoja única o documento interno).</w:t>
      </w:r>
    </w:p>
    <w:p>
      <w:r>
        <w:t xml:space="preserve">#### 4.4.2 Bases jurídicas (resumen para pack) — </w:t>
      </w:r>
      <w:r>
        <w:rPr>
          <w:b/>
        </w:rPr>
        <w:t>borrador hasta dictamen</w:t>
      </w:r>
      <w:r>
        <w:t xml:space="preserve"> `[PENDIENTE abogado]`</w:t>
      </w:r>
    </w:p>
    <w:p>
      <w:r>
        <w:t xml:space="preserve">- </w:t>
      </w:r>
      <w:r>
        <w:rPr>
          <w:b/>
        </w:rPr>
        <w:t>Ejecución de contrato / prestación del servicio:</w:t>
      </w:r>
      <w:r>
        <w:t xml:space="preserve"> cuenta, pedidos, pagos, entregas.</w:t>
      </w:r>
    </w:p>
    <w:p>
      <w:r>
        <w:t xml:space="preserve">- </w:t>
      </w:r>
      <w:r>
        <w:rPr>
          <w:b/>
        </w:rPr>
        <w:t>Consentimiento explícito:</w:t>
      </w:r>
      <w:r>
        <w:t xml:space="preserve"> subida de receta, datos de salud opcionales, marketing no esencial.</w:t>
      </w:r>
    </w:p>
    <w:p>
      <w:r>
        <w:t xml:space="preserve">- </w:t>
      </w:r>
      <w:r>
        <w:rPr>
          <w:b/>
        </w:rPr>
        <w:t>Obligación legal:</w:t>
      </w:r>
      <w:r>
        <w:t xml:space="preserve"> facturación, retenciones contables, respuesta a autoridad competente con orden fundada.</w:t>
      </w:r>
    </w:p>
    <w:p>
      <w:r>
        <w:t xml:space="preserve">#### 4.4.3 Derechos del titular (paciente / usuario) — </w:t>
      </w:r>
      <w:r>
        <w:rPr>
          <w:b/>
        </w:rPr>
        <w:t>borrador hasta dictamen</w:t>
      </w:r>
      <w:r>
        <w:t xml:space="preserve"> `[PENDIENTE abogado]`</w:t>
      </w:r>
    </w:p>
    <w:p>
      <w:r>
        <w:t>- Acceso, rectificación, supresión (salvo excepciones legales de conservación), oposición a tratamientos opcionales, portabilidad razonable.</w:t>
      </w:r>
    </w:p>
    <w:p>
      <w:r>
        <w:t xml:space="preserve">- </w:t>
      </w:r>
      <w:r>
        <w:rPr>
          <w:b/>
        </w:rPr>
        <w:t>Canal:</w:t>
      </w:r>
      <w:r>
        <w:t xml:space="preserve"> formulario en app + email a contacto oficial de la C.A. (definir en constitución). SLA interno de respuesta: </w:t>
      </w:r>
      <w:r>
        <w:rPr>
          <w:b/>
        </w:rPr>
        <w:t>15 días hábiles</w:t>
      </w:r>
      <w:r>
        <w:t xml:space="preserve"> (ajustar a norma cuando el reglamento lo precise).</w:t>
      </w:r>
    </w:p>
    <w:p>
      <w:r>
        <w:t>#### 4.4.4 Transferencias internacionales</w:t>
      </w:r>
    </w:p>
    <w:p>
      <w:r>
        <w:t xml:space="preserve">- Si un proveedor aloja datos o procesa notificaciones </w:t>
      </w:r>
      <w:r>
        <w:rPr>
          <w:b/>
        </w:rPr>
        <w:t>fuera de VE</w:t>
      </w:r>
      <w:r>
        <w:t xml:space="preserve"> (p. ej. EE.UU./UE), el aviso de privacidad debe indicarlo y basarse en </w:t>
      </w:r>
      <w:r>
        <w:rPr>
          <w:b/>
        </w:rPr>
        <w:t>cláusulas contractuales tipo</w:t>
      </w:r>
      <w:r>
        <w:t xml:space="preserve">, consentimiento específico o decisión de adecuación — </w:t>
      </w:r>
      <w:r>
        <w:rPr>
          <w:b/>
        </w:rPr>
        <w:t>validar redacción con abogado</w:t>
      </w:r>
      <w:r>
        <w:t>.</w:t>
      </w:r>
    </w:p>
    <w:p>
      <w:r>
        <w:t>#### 4.4.5 Contrato marco farmacia–Zonix (B2B)</w:t>
      </w:r>
    </w:p>
    <w:p>
      <w:r>
        <w:t xml:space="preserve">- Debe existir </w:t>
      </w:r>
      <w:r>
        <w:rPr>
          <w:b/>
        </w:rPr>
        <w:t>contrato o anexo</w:t>
      </w:r>
      <w:r>
        <w:t xml:space="preserve"> que distribuya: (1) quién valida Rx; (2) custodia de receta física; (3) uso de marca; (4) límites de responsabilidad por desabastecimiento; (5) tratamiento de datos del paciente compartidos con la farmacia; (6) salida de datos al cierre de la relación.</w:t>
      </w:r>
    </w:p>
    <w:p>
      <w:r>
        <w:t xml:space="preserve">- Plantilla base: abogado corporativo + visado </w:t>
      </w:r>
      <w:r>
        <w:rPr>
          <w:b/>
        </w:rPr>
        <w:t>farmacéutico asesor</w:t>
      </w:r>
      <w:r>
        <w:t xml:space="preserve"> en cláusulas de dispensación.</w:t>
      </w:r>
    </w:p>
    <w:p>
      <w:r>
        <w:t>#### 4.4.6 SAFE e instrumentos foráneos</w:t>
      </w:r>
    </w:p>
    <w:p>
      <w:r>
        <w:t xml:space="preserve">- El </w:t>
      </w:r>
      <w:r>
        <w:rPr>
          <w:b/>
        </w:rPr>
        <w:t>SAFE (YC)</w:t>
      </w:r>
      <w:r>
        <w:t xml:space="preserve"> es estándar internacional; su </w:t>
      </w:r>
      <w:r>
        <w:rPr>
          <w:b/>
        </w:rPr>
        <w:t>vigencia y interpretación</w:t>
      </w:r>
      <w:r>
        <w:t xml:space="preserve"> en litigios VE puede requerir </w:t>
      </w:r>
      <w:r>
        <w:rPr>
          <w:b/>
        </w:rPr>
        <w:t>cláusula de ley y jurisdicción</w:t>
      </w:r>
      <w:r>
        <w:t xml:space="preserve"> y traducción al español para registros locales. </w:t>
      </w:r>
      <w:r>
        <w:rPr>
          <w:b/>
        </w:rPr>
        <w:t>Recomendación:</w:t>
      </w:r>
      <w:r>
        <w:t xml:space="preserve"> abogado con experiencia </w:t>
      </w:r>
      <w:r>
        <w:rPr>
          <w:b/>
        </w:rPr>
        <w:t>cross-border</w:t>
      </w:r>
      <w:r>
        <w:t xml:space="preserve"> o al menos revisión de enforceability antes de firma.</w:t>
      </w:r>
    </w:p>
    <w:p>
      <w:pPr>
        <w:pStyle w:val="Heading2"/>
      </w:pPr>
      <w:r>
        <w:t>4.5 SAPI (registro de marca)</w:t>
      </w:r>
    </w:p>
    <w:p>
      <w:r>
        <w:t xml:space="preserve">- </w:t>
      </w:r>
      <w:r>
        <w:rPr>
          <w:b/>
        </w:rPr>
        <w:t>Marca:</w:t>
      </w:r>
      <w:r>
        <w:t xml:space="preserve"> "Zonix Pharma" + logotipo Z geométrico.</w:t>
      </w:r>
    </w:p>
    <w:p>
      <w:r>
        <w:t xml:space="preserve">- </w:t>
      </w:r>
      <w:r>
        <w:rPr>
          <w:b/>
        </w:rPr>
        <w:t>Costo:</w:t>
      </w:r>
      <w:r>
        <w:t xml:space="preserve"> USD 250-400 one-shot.</w:t>
      </w:r>
    </w:p>
    <w:p>
      <w:r>
        <w:t xml:space="preserve">- </w:t>
      </w:r>
      <w:r>
        <w:rPr>
          <w:b/>
        </w:rPr>
        <w:t>Tiempo:</w:t>
      </w:r>
      <w:r>
        <w:t xml:space="preserve"> 60-90 días desde solicitud.</w:t>
      </w:r>
    </w:p>
    <w:p>
      <w:r>
        <w:t xml:space="preserve">- </w:t>
      </w:r>
      <w:r>
        <w:rPr>
          <w:b/>
        </w:rPr>
        <w:t>Vigencia:</w:t>
      </w:r>
      <w:r>
        <w:t xml:space="preserve"> 10 años renovables.</w:t>
      </w:r>
    </w:p>
    <w:p>
      <w:pPr>
        <w:pStyle w:val="Heading2"/>
      </w:pPr>
      <w:r>
        <w:t>4.6 KYC / AML y rol eventual como agregador de pagos (Sudeban)</w:t>
      </w:r>
    </w:p>
    <w:p>
      <w:r/>
      <w:r>
        <w:rPr>
          <w:b/>
        </w:rPr>
        <w:t>Piloto (mes 0-6):</w:t>
      </w:r>
      <w:r>
        <w:t xml:space="preserve"> </w:t>
      </w:r>
      <w:r>
        <w:rPr>
          <w:b/>
        </w:rPr>
        <w:t>Zonix Pharma</w:t>
      </w:r>
      <w:r>
        <w:t xml:space="preserve"> </w:t>
      </w:r>
      <w:r>
        <w:rPr>
          <w:b/>
        </w:rPr>
        <w:t>no</w:t>
      </w:r>
      <w:r>
        <w:t xml:space="preserve"> recauda del paciente en nombre de terceros de forma centralizada — flujo documentado en [PLAN_METODOS_PAGO.md](PLAN_METODOS_PAGO.md); riesgo PSP limitado.</w:t>
      </w:r>
    </w:p>
    <w:p>
      <w:r/>
      <w:r>
        <w:rPr>
          <w:b/>
        </w:rPr>
        <w:t>Triggers para plan formal mes 6+</w:t>
      </w:r>
      <w:r>
        <w:t xml:space="preserve"> (activar con abogado + especialista Sudeban):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Umbral orientativo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Volumen mensual agregado de fondos que transitan por cuentas corporativas de **Zonix Pharma**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 orden **USD X** / mes (definir con contador y banco)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Evaluación licencia / figura adaptada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% de transacciones **cross-border** (Zelle/USDT) sobre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 **30-40%** sostenido 3 meses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Refuerzo KYC contrapartes + política AML escrita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**Zonix Pharma** pasa a liquidar **directamente** a farmacias/repartidores como intermediario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Cualquier volumen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 diligence Sudeban antes de encender</w:t>
            </w:r>
          </w:p>
        </w:tc>
      </w:tr>
    </w:tbl>
    <w:p/>
    <w:p>
      <w:r/>
      <w:r>
        <w:rPr>
          <w:b/>
        </w:rPr>
        <w:t>Componentes del programa:</w:t>
      </w:r>
      <w:r>
        <w:t xml:space="preserve"> KYC de farmacias (ya previsto onboarding), lista restrictiva interna, monitoreo de tickets fraud, conservación de evidencias, designación de </w:t>
      </w:r>
      <w:r>
        <w:rPr>
          <w:b/>
        </w:rPr>
        <w:t>responsable compliance</w:t>
      </w:r>
      <w:r>
        <w:t xml:space="preserve"> (part-time CFO/legal hasta hire dedicado).</w:t>
      </w:r>
    </w:p>
    <w:p>
      <w:pPr>
        <w:pStyle w:val="Heading1"/>
      </w:pPr>
      <w:r>
        <w:t>5. Equity de futuros empleados / advisors</w:t>
      </w:r>
    </w:p>
    <w:p>
      <w:pPr>
        <w:pStyle w:val="Heading2"/>
      </w:pPr>
      <w:r>
        <w:t>5.0 Single-founder y plan de mitigación</w:t>
      </w:r>
    </w:p>
    <w:p>
      <w:r>
        <w:t xml:space="preserve">Zonix Pharma arranca con </w:t>
      </w:r>
      <w:r>
        <w:rPr>
          <w:b/>
        </w:rPr>
        <w:t>un solo founder técnico</w:t>
      </w:r>
      <w:r>
        <w:t xml:space="preserve"> (CEO + CTO en la misma persona). Esto es válido para pre-seed pero merece transparencia:</w:t>
      </w:r>
    </w:p>
    <w:p>
      <w:r>
        <w:t xml:space="preserve">- </w:t>
      </w:r>
      <w:r>
        <w:rPr>
          <w:b/>
        </w:rPr>
        <w:t>Riesgo:</w:t>
      </w:r>
      <w:r>
        <w:t xml:space="preserve"> dependencia técnica + decisional en un único individuo.</w:t>
      </w:r>
    </w:p>
    <w:p>
      <w:r>
        <w:t xml:space="preserve">- </w:t>
      </w:r>
      <w:r>
        <w:rPr>
          <w:b/>
        </w:rPr>
        <w:t>Mitigación pre-PMF:</w:t>
      </w:r>
      <w:r>
        <w:t xml:space="preserve"> </w:t>
      </w:r>
      <w:r>
        <w:rPr>
          <w:b/>
        </w:rPr>
        <w:t>Co-CEO</w:t>
      </w:r>
      <w:r>
        <w:t xml:space="preserve"> para dirección general + </w:t>
      </w:r>
      <w:r>
        <w:rPr>
          <w:b/>
        </w:rPr>
        <w:t>Marketing Lead</w:t>
      </w:r>
      <w:r>
        <w:t xml:space="preserve"> para creatividad/campañas, documentado en [PRESUPUESTO_12_MESES_REFERENCIA.md](PRESUPUESTO_12_MESES_REFERENCIA.md) y [CUESTIONARIO_EQUIPO_PILOTO.md](CUESTIONARIO_EQUIPO_PILOTO.md).</w:t>
      </w:r>
    </w:p>
    <w:p>
      <w:r>
        <w:t xml:space="preserve">- </w:t>
      </w:r>
      <w:r>
        <w:rPr>
          <w:b/>
        </w:rPr>
        <w:t>Mitigación post-PMF (post-Serie A):</w:t>
      </w:r>
      <w:r>
        <w:t xml:space="preserve"> primer hire es un </w:t>
      </w:r>
      <w:r>
        <w:rPr>
          <w:b/>
        </w:rPr>
        <w:t>CTO o Head of Engineering</w:t>
      </w:r>
      <w:r>
        <w:t xml:space="preserve"> que asume el stack mientras el founder se mueve a CEO 100%.</w:t>
      </w:r>
    </w:p>
    <w:p>
      <w:r>
        <w:t xml:space="preserve">- </w:t>
      </w:r>
      <w:r>
        <w:rPr>
          <w:b/>
        </w:rPr>
        <w:t>Advisors potenciales en mes 6-12:</w:t>
      </w:r>
      <w:r>
        <w:t xml:space="preserve"> un advisor regulatorio farmacéutico VE (0,5%-1% equity vesting 2 años) y un advisor comercial con experiencia retail VE (0,25%-0,5% equity).</w:t>
      </w:r>
    </w:p>
    <w:p>
      <w:pPr>
        <w:pStyle w:val="Heading2"/>
      </w:pPr>
      <w:r>
        <w:t>5.1 Pool reservado</w:t>
      </w:r>
    </w:p>
    <w:p>
      <w:r>
        <w:t xml:space="preserve">- </w:t>
      </w:r>
      <w:r>
        <w:rPr>
          <w:b/>
        </w:rPr>
        <w:t>Pre Serie A:</w:t>
      </w:r>
      <w:r>
        <w:t xml:space="preserve"> se reserva </w:t>
      </w:r>
      <w:r>
        <w:rPr>
          <w:b/>
        </w:rPr>
        <w:t>10% del cap table</w:t>
      </w:r>
      <w:r>
        <w:t xml:space="preserve"> post-conversión SAFE para empleados clave + advisors.</w:t>
      </w:r>
    </w:p>
    <w:p>
      <w:r>
        <w:t xml:space="preserve">- </w:t>
      </w:r>
      <w:r>
        <w:rPr>
          <w:b/>
        </w:rPr>
        <w:t>Post Serie A:</w:t>
      </w:r>
      <w:r>
        <w:t xml:space="preserve"> se amplía a </w:t>
      </w:r>
      <w:r>
        <w:rPr>
          <w:b/>
        </w:rPr>
        <w:t>15-20%</w:t>
      </w:r>
      <w:r>
        <w:t xml:space="preserve"> según necesidades.</w:t>
      </w:r>
    </w:p>
    <w:p>
      <w:pPr>
        <w:pStyle w:val="Heading2"/>
      </w:pPr>
      <w:r>
        <w:t>5.2 Política de stock options</w:t>
      </w:r>
    </w:p>
    <w:p>
      <w:r>
        <w:t xml:space="preserve">- </w:t>
      </w:r>
      <w:r>
        <w:rPr>
          <w:b/>
        </w:rPr>
        <w:t>Vesting:</w:t>
      </w:r>
      <w:r>
        <w:t xml:space="preserve"> 4 años con cliff 1 año.</w:t>
      </w:r>
    </w:p>
    <w:p>
      <w:r>
        <w:t xml:space="preserve">- </w:t>
      </w:r>
      <w:r>
        <w:rPr>
          <w:b/>
        </w:rPr>
        <w:t>Strike price:</w:t>
      </w:r>
      <w:r>
        <w:t xml:space="preserve"> valor justo de mercado al momento de otorgamiento.</w:t>
      </w:r>
    </w:p>
    <w:p>
      <w:r>
        <w:t xml:space="preserve">- </w:t>
      </w:r>
      <w:r>
        <w:rPr>
          <w:b/>
        </w:rPr>
        <w:t>Acelerador:</w:t>
      </w:r>
      <w:r>
        <w:t xml:space="preserve"> 50% acelerado en cambio de control (acquisition) — estándar.</w:t>
      </w:r>
    </w:p>
    <w:p>
      <w:r>
        <w:t xml:space="preserve">- </w:t>
      </w:r>
      <w:r>
        <w:rPr>
          <w:b/>
        </w:rPr>
        <w:t>No options en piloto:</w:t>
      </w:r>
      <w:r>
        <w:t xml:space="preserve"> los freelances tienen contrato directo, sin equity. Solo se otorgan stock options a empleados formales post-Serie A.</w:t>
      </w:r>
    </w:p>
    <w:p>
      <w:pPr>
        <w:pStyle w:val="Heading2"/>
      </w:pPr>
      <w:r>
        <w:t>5.3 Advisors</w:t>
      </w:r>
    </w:p>
    <w:p>
      <w:r>
        <w:t>- 0,25% - 1% por advisor según valor aportado.</w:t>
      </w:r>
    </w:p>
    <w:p>
      <w:r>
        <w:t>- Vesting 2 años con cliff 6 meses.</w:t>
      </w:r>
    </w:p>
    <w:p>
      <w:r>
        <w:t>- Posible en mes 6-12 si aparece advisor regulatorio o de marketing relevante.</w:t>
      </w:r>
    </w:p>
    <w:p>
      <w:pPr>
        <w:pStyle w:val="Heading1"/>
      </w:pPr>
      <w:r>
        <w:t>6. Riesgos legales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Cambio en regulación marketplace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Asesor regulatorio externo + revisión Gaceta semanal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MPPS bloquea validación digital de receta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Trazabilidad + firma digital + auditoría on-demand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SENIAT exige factura digital antes de mes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Habilitar desde mes 1 con proveedor autorizado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Devaluación bolívar afecta capital social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Capital social simbólico USD 1.000; dilución limpia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Inversor del SAFE quiere exit antes de Serie 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Cláusula explícita: SAFE solo convierte en próxima ronda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Disputas contractuales con farmacias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T&amp;C bilaterales firmados al onboarding + mediación Customer Support</w:t>
            </w:r>
          </w:p>
        </w:tc>
      </w:tr>
    </w:tbl>
    <w:p/>
    <w:p>
      <w:pPr>
        <w:pStyle w:val="Heading1"/>
      </w:pPr>
      <w:r>
        <w:t>7. Documentos legales que se entregan al inversor</w:t>
      </w:r>
    </w:p>
    <w:p>
      <w:r>
        <w:t>Al cierre de la inversión, el inversor recibe:</w:t>
      </w:r>
    </w:p>
    <w:p>
      <w:r>
        <w:t xml:space="preserve">1. </w:t>
      </w:r>
      <w:r>
        <w:rPr>
          <w:b/>
        </w:rPr>
        <w:t>SAFE firmado</w:t>
      </w:r>
      <w:r>
        <w:t xml:space="preserve"> (PDF + original notariado opcional).</w:t>
      </w:r>
    </w:p>
    <w:p>
      <w:r>
        <w:t xml:space="preserve">2. </w:t>
      </w:r>
      <w:r>
        <w:rPr>
          <w:b/>
        </w:rPr>
        <w:t>Acta constitutiva y estatutos</w:t>
      </w:r>
      <w:r>
        <w:t xml:space="preserve"> de Zonix Pharma C.A. (cuando se constituya, ~30 días post-cierre).</w:t>
      </w:r>
    </w:p>
    <w:p>
      <w:r>
        <w:t xml:space="preserve">3. </w:t>
      </w:r>
      <w:r>
        <w:rPr>
          <w:b/>
        </w:rPr>
        <w:t>Registro Mercantil</w:t>
      </w:r>
      <w:r>
        <w:t xml:space="preserve"> estampado.</w:t>
      </w:r>
    </w:p>
    <w:p>
      <w:r>
        <w:t xml:space="preserve">4. </w:t>
      </w:r>
      <w:r>
        <w:rPr>
          <w:b/>
        </w:rPr>
        <w:t>RIF de la empresa.</w:t>
      </w:r>
      <w:r/>
    </w:p>
    <w:p>
      <w:r>
        <w:t xml:space="preserve">5. </w:t>
      </w:r>
      <w:r>
        <w:rPr>
          <w:b/>
        </w:rPr>
        <w:t>Cap table actualizado.</w:t>
      </w:r>
      <w:r/>
    </w:p>
    <w:p>
      <w:r>
        <w:t xml:space="preserve">6. </w:t>
      </w:r>
      <w:r>
        <w:rPr>
          <w:b/>
        </w:rPr>
        <w:t>Carta de declaración del founder:</w:t>
      </w:r>
      <w:r>
        <w:t xml:space="preserve"> confirma que el SAFE es la única deuda de la empresa al momento de firma.</w:t>
      </w:r>
    </w:p>
    <w:p>
      <w:r>
        <w:t xml:space="preserve">7. </w:t>
      </w:r>
      <w:r>
        <w:rPr>
          <w:b/>
        </w:rPr>
        <w:t>Plan operativo de 12 meses:</w:t>
      </w:r>
      <w:r>
        <w:t xml:space="preserve"> este pack completo.</w:t>
      </w:r>
    </w:p>
    <w:p>
      <w:pPr>
        <w:pStyle w:val="Heading1"/>
      </w:pPr>
      <w:r>
        <w:t>8. Cronograma legal post-inversión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 (cierre inversión)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Firma SAFE con **condición suspensiva de constitución C.A. ≤30 días** + **devolución automática** si no se constituye. El wire de **USD 237.412** se recibe en **escrow notarial** o **cuenta bloqueada** hasta acta constitutiva; alternativa: **tranche 1** tras constitución + apertura de cuenta empresa. **Carta de uso de fondos firmada** por el founder. **No se recibe el wire en cuenta personal del founder** (exposición fiduciaria/related-party evitada).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Constitución legal C.A. completa. Apertura cuenta bancaria empresa. Transferencia interna founder → C.A.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RIF + factura digital SENIAT habilitados.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Marca SAPI registrada (paralelo).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**Day-D del piloto (T+90 desde wire).** Inicio **M1** financiero post-Day-D — ver [PROYECCION_FINANCIERA_12M.md](PROYECCION_FINANCIERA_12M.md) §0. Operación oficial de la C.A. en paralelo mes 1–3.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 mensual al inversor.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7-12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 trimestral al inversor.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18-24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Posible Serie A. Conversión del SAFE.</w:t>
            </w:r>
          </w:p>
        </w:tc>
      </w:tr>
    </w:tbl>
    <w:p/>
    <w:p>
      <w:pPr>
        <w:pStyle w:val="Heading1"/>
      </w:pPr>
      <w:r>
        <w:t>9. Documentos hermanos</w:t>
      </w:r>
    </w:p>
    <w:p>
      <w:r>
        <w:t>- [BRIEF_UNA_PAGINA.md](BRIEF_UNA_PAGINA.md): resumen de instrumento.</w:t>
      </w:r>
    </w:p>
    <w:p>
      <w:r>
        <w:t>- [PROYECCION_FINANCIERA_12M.md](PROYECCION_FINANCIERA_12M.md): cómo se gasta el SAFE.</w:t>
      </w:r>
    </w:p>
    <w:p>
      <w:r>
        <w:t>- [PLAN_LANZAMIENTO_COMERCIAL.md](PLAN_LANZAMIENTO_COMERCIAL.md): T+30 / T+60 / T+90.</w:t>
      </w:r>
    </w:p>
    <w:p>
      <w:r>
        <w:t>- [`../PLAN_REGULATORIO_PHARMA_VE.md`](../PLAN_REGULATORIO_PHARMA_VE.md): marco farmacéutico VE.</w:t>
      </w:r>
    </w:p>
    <w:p>
      <w:r>
        <w:t>- [PLAN_METODOS_PAGO.md](PLAN_METODOS_PAGO.md) §10: Sudeban y no intermediación en piloto.</w:t>
      </w:r>
    </w:p>
    <w:p>
      <w:r>
        <w:t>- [`../PLAN_REGULATORIO_PHARMA_VE.md`](../PLAN_REGULATORIO_PHARMA_VE.md): regulación farmacéutica 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