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  <w:jc w:val="left"/>
      </w:pPr>
      <w:r>
        <w:rPr>
          <w:rFonts w:ascii="Plus Jakarta Sans" w:hAnsi="Plus Jakarta Sans" w:eastAsia="Plus Jakarta Sans"/>
          <w:b/>
          <w:color w:val="56C7B8"/>
          <w:sz w:val="28"/>
        </w:rPr>
        <w:t>Z O N I X   P H A R M A</w:t>
      </w:r>
    </w:p>
    <w:p>
      <w:pPr>
        <w:spacing w:after="320"/>
        <w:jc w:val="left"/>
      </w:pPr>
      <w:r>
        <w:rPr>
          <w:rFonts w:ascii="Plus Jakarta Sans" w:hAnsi="Plus Jakarta Sans" w:eastAsia="Plus Jakarta Sans"/>
          <w:b/>
          <w:color w:val="1E2A5A"/>
          <w:sz w:val="68"/>
        </w:rPr>
        <w:t>Plan unificado</w:t>
        <w:br/>
        <w:t>de captación</w:t>
      </w:r>
    </w:p>
    <w:p>
      <w:pPr>
        <w:spacing w:after="720"/>
      </w:pPr>
      <w:r>
        <w:rPr>
          <w:rFonts w:ascii="Plus Jakarta Sans" w:hAnsi="Plus Jakarta Sans" w:eastAsia="Plus Jakarta Sans"/>
          <w:b/>
          <w:color w:val="0F4C5C"/>
          <w:sz w:val="32"/>
        </w:rPr>
        <w:t>Inversionistas · Farmacias · Socios</w:t>
        <w:br/>
        <w:t>Café + Kleo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E2A5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Plus Jakarta Sans" w:hAnsi="Plus Jakarta Sans" w:eastAsia="Plus Jakarta Sans"/>
                <w:b/>
                <w:color w:val="56C7B8"/>
                <w:sz w:val="20"/>
              </w:rPr>
              <w:t>RECOMENDACIÓN</w:t>
            </w:r>
            <w:r>
              <w:rPr>
                <w:rFonts w:ascii="Plus Jakarta Sans" w:hAnsi="Plus Jakarta Sans" w:eastAsia="Plus Jakarta Sans"/>
                <w:b/>
                <w:color w:val="FFFFFF"/>
                <w:sz w:val="26"/>
              </w:rPr>
              <w:br/>
              <w:t>Alfa ahora → Beta después del uso → Delta solo tras cobro real. Gamma descartado.</w:t>
            </w:r>
          </w:p>
        </w:tc>
      </w:tr>
      <w:tr>
        <w:tc>
          <w:tcPr>
            <w:tcW w:type="dxa" w:w="10148"/>
            <w:shd w:fill="F5F7FA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Plus Jakarta Sans" w:hAnsi="Plus Jakarta Sans" w:eastAsia="Plus Jakarta Sans"/>
                <w:b/>
                <w:color w:val="1E2A5A"/>
                <w:sz w:val="20"/>
              </w:rPr>
              <w:t>Canon: SAFE USD 237.412 · cap USD 600.000 · 45/60/70 + 8/7/5% GMV · waiver 0 × 2 meses · ask no recaudado.</w:t>
            </w:r>
          </w:p>
        </w:tc>
      </w:tr>
    </w:tbl>
    <w:p>
      <w:pPr>
        <w:spacing w:before="880"/>
        <w:jc w:val="left"/>
      </w:pPr>
      <w:r>
        <w:rPr>
          <w:rFonts w:ascii="Plus Jakarta Sans" w:hAnsi="Plus Jakarta Sans" w:eastAsia="Plus Jakarta Sans"/>
          <w:color w:val="6B7785"/>
          <w:sz w:val="18"/>
        </w:rPr>
        <w:t>Versión 1.0 unificada · 21 agosto 2026</w:t>
        <w:br/>
        <w:t>INTERNO · No incluir por defecto en el zip inversor</w:t>
      </w:r>
    </w:p>
    <w:p>
      <w:r>
        <w:br w:type="page"/>
      </w:r>
    </w:p>
    <w:p>
      <w:pPr>
        <w:keepNext/>
      </w:pPr>
      <w:r>
        <w:rPr>
          <w:rFonts w:ascii="Plus Jakarta Sans" w:hAnsi="Plus Jakarta Sans" w:eastAsia="Plus Jakarta Sans"/>
          <w:b/>
          <w:color w:val="1E2A5A"/>
          <w:sz w:val="44"/>
        </w:rPr>
        <w:t>Índice</w:t>
      </w:r>
    </w:p>
    <w:p>
      <w:r>
        <w:fldChar w:fldCharType="begin"/>
        <w:instrText xml:space="preserve">TOC \o "1-3" \h \z \u</w:instrText>
        <w:fldChar w:fldCharType="separate"/>
        <w:t>Actualice el índice en Word con clic derecho → Actualizar campo.</w:t>
        <w:fldChar w:fldCharType="end"/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Respuesta ejecutiva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1. Reglas no negociables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2. Registro y normalización de evidencia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3. Canon que no cambia por este experimento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4. Carril A — inversionistas financieros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5. Carril B — farmacias cliente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6. Carril C — socios estratégicos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7. Carril D — socios operativos, cofundadores y advisors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8. Calendario integrado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9. Escenarios de financiación por clientes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10. Planes comparables y decisión recomendada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11. Dashboard semanal del plan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12. Registro de decisiones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13. Cómo incorporar la próxima investigación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14. Próximas acciones concretas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Anexo A — Evidencia del video Café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Anexo B — Evidencia del video Kleo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Anexo C — Trazabilidad de la consolidación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Respuesta ejecutiva</w:t>
      </w:r>
    </w:p>
    <w:p>
      <w:r>
        <w:rPr>
          <w:rFonts w:ascii="Plus Jakarta Sans" w:hAnsi="Plus Jakarta Sans" w:eastAsia="Plus Jakarta Sans"/>
          <w:sz w:val="18"/>
        </w:rPr>
        <w:t xml:space="preserve">Los dos videos aportan mecanismos útiles, pero </w:t>
      </w:r>
      <w:r>
        <w:rPr>
          <w:rFonts w:ascii="Plus Jakarta Sans" w:hAnsi="Plus Jakarta Sans" w:eastAsia="Plus Jakarta Sans"/>
          <w:b/>
          <w:color w:val="1E2A5A"/>
          <w:sz w:val="18"/>
        </w:rPr>
        <w:t>no un modelo para copiar literalmente</w:t>
      </w:r>
      <w:r>
        <w:rPr>
          <w:rFonts w:ascii="Plus Jakarta Sans" w:hAnsi="Plus Jakarta Sans" w:eastAsia="Plus Jakarta Sans"/>
          <w:sz w:val="18"/>
        </w:rPr>
        <w:t>:</w:t>
      </w:r>
    </w:p>
    <w:p>
      <w:pPr>
        <w:pStyle w:val="ListBullet"/>
      </w:pPr>
      <w:r>
        <w:rPr>
          <w:rFonts w:ascii="Plus Jakarta Sans" w:hAnsi="Plus Jakarta Sans" w:eastAsia="Plus Jakarta Sans"/>
          <w:b/>
          <w:color w:val="1E2A5A"/>
          <w:sz w:val="18"/>
        </w:rPr>
        <w:t>Café (Facebook):</w:t>
      </w:r>
      <w:r>
        <w:rPr>
          <w:rFonts w:ascii="Plus Jakarta Sans" w:hAnsi="Plus Jakarta Sans" w:eastAsia="Plus Jakarta Sans"/>
          <w:sz w:val="18"/>
        </w:rPr>
        <w:t xml:space="preserve"> separar membresía de consumo, inversión y fondos de pedidos; limitar cohortes por capacidad; no prometer retornos.</w:t>
      </w:r>
    </w:p>
    <w:p>
      <w:pPr>
        <w:pStyle w:val="ListBullet"/>
      </w:pPr>
      <w:r>
        <w:rPr>
          <w:rFonts w:ascii="Plus Jakarta Sans" w:hAnsi="Plus Jakarta Sans" w:eastAsia="Plus Jakarta Sans"/>
          <w:b/>
          <w:color w:val="1E2A5A"/>
          <w:sz w:val="18"/>
        </w:rPr>
        <w:t>Kleo (Instagram):</w:t>
      </w:r>
      <w:r>
        <w:rPr>
          <w:rFonts w:ascii="Plus Jakarta Sans" w:hAnsi="Plus Jakarta Sans" w:eastAsia="Plus Jakarta Sans"/>
          <w:sz w:val="18"/>
        </w:rPr>
        <w:t xml:space="preserve"> hablar primero del problema, capturar una señal cualificada, aprender con una cohorte pequeña y ampliar solo después del uso real.</w:t>
      </w:r>
    </w:p>
    <w:p>
      <w:r>
        <w:rPr>
          <w:rFonts w:ascii="Plus Jakarta Sans" w:hAnsi="Plus Jakarta Sans" w:eastAsia="Plus Jakarta Sans"/>
          <w:sz w:val="18"/>
        </w:rPr>
        <w:t>La secuencia recomendada para Zonix es: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Alfa ahora:</w:t>
      </w:r>
      <w:r>
        <w:rPr>
          <w:rFonts w:ascii="Plus Jakarta Sans" w:hAnsi="Plus Jakarta Sans" w:eastAsia="Plus Jakarta Sans"/>
          <w:sz w:val="18"/>
        </w:rPr>
        <w:t xml:space="preserve"> hasta 10 farmacias prueban la app antes del wire; no es waiver, contrato ni waitlist de pacientes.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Beta después del uso:</w:t>
      </w:r>
      <w:r>
        <w:rPr>
          <w:rFonts w:ascii="Plus Jakarta Sans" w:hAnsi="Plus Jakarta Sans" w:eastAsia="Plus Jakarta Sans"/>
          <w:sz w:val="18"/>
        </w:rPr>
        <w:t xml:space="preserve"> un subconjunto entra al programa comercial S1 con contrato y waiver canónico.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Delta solo después de cobro real:</w:t>
      </w:r>
      <w:r>
        <w:rPr>
          <w:rFonts w:ascii="Plus Jakarta Sans" w:hAnsi="Plus Jakarta Sans" w:eastAsia="Plus Jakarta Sans"/>
          <w:sz w:val="18"/>
        </w:rPr>
        <w:t xml:space="preserve"> el prepago anual S2 continúa no aprobado hasta superar todos los gates.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Gamma descartado:</w:t>
      </w:r>
      <w:r>
        <w:rPr>
          <w:rFonts w:ascii="Plus Jakarta Sans" w:hAnsi="Plus Jakarta Sans" w:eastAsia="Plus Jakarta Sans"/>
          <w:sz w:val="18"/>
        </w:rPr>
        <w:t xml:space="preserve"> lifetime, cap 800k, exclusividad y un sprint de cuatro semanas mezclan cliente, inversor y operación.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97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97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lus Jakarta Sans" w:hAnsi="Plus Jakarta Sans" w:eastAsia="Plus Jakarta Sans"/>
          <w:b/>
          <w:i/>
          <w:color w:val="0F4C5C"/>
          <w:sz w:val="16"/>
        </w:rPr>
        <w:t>De los dos videos a la secuencia operativa recomendada</w:t>
      </w:r>
    </w:p>
    <w:p>
      <w:r>
        <w:rPr>
          <w:rFonts w:ascii="Plus Jakarta Sans" w:hAnsi="Plus Jakarta Sans" w:eastAsia="Plus Jakarta Sans"/>
          <w:sz w:val="18"/>
        </w:rPr>
        <w:t xml:space="preserve">La captación se ejecuta mediante </w:t>
      </w:r>
      <w:r>
        <w:rPr>
          <w:rFonts w:ascii="Plus Jakarta Sans" w:hAnsi="Plus Jakarta Sans" w:eastAsia="Plus Jakarta Sans"/>
          <w:b/>
          <w:color w:val="1E2A5A"/>
          <w:sz w:val="18"/>
        </w:rPr>
        <w:t>cuatro carriles independientes</w:t>
      </w:r>
      <w:r>
        <w:rPr>
          <w:rFonts w:ascii="Plus Jakarta Sans" w:hAnsi="Plus Jakarta Sans" w:eastAsia="Plus Jakarta Sans"/>
          <w:sz w:val="18"/>
        </w:rPr>
        <w:t>: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inversionistas financieros;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farmacias cliente;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socios estratégicos;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socios operativos y advisors.</w:t>
      </w:r>
    </w:p>
    <w:p>
      <w:r>
        <w:rPr>
          <w:rFonts w:ascii="Plus Jakarta Sans" w:hAnsi="Plus Jakarta Sans" w:eastAsia="Plus Jakarta Sans"/>
          <w:sz w:val="18"/>
        </w:rPr>
        <w:t>Cada carril tiene un intercambio, contrato, embudo y caja distintos. Si una misma contraparte ocupa dos carriles —por ejemplo, una farmacia que también invierte— firma instrumentos separados y no recibe datos, exclusividad o condiciones comerciales privilegiadas por aportar capital.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Cómo leer este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Bloque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Responde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§1–§3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Qué no cambia y qué evidencia de los videos sí es válida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§4–§7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Cómo captar en cada carril sin mezclar contratos ni caja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§8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Cuándo ocurre cada fase: pre-wire, T+0, Fase 0 y Day-D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§9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Qué significan S0, S1 y S2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§10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Qué son Alfa, Beta, Gamma y Delta y cuál se recomienda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§11–§14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Cómo medir, decidir, incorporar evidencia y actuar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Anexos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Cálculos, fuentes, correcciones y descartes que sustentan el plan</w:t>
            </w:r>
          </w:p>
        </w:tc>
      </w:tr>
    </w:tbl>
    <w:p/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1. Reglas no negociables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Ask no significa recaudado.</w:t>
      </w:r>
      <w:r>
        <w:rPr>
          <w:rFonts w:ascii="Plus Jakarta Sans" w:hAnsi="Plus Jakarta Sans" w:eastAsia="Plus Jakarta Sans"/>
          <w:sz w:val="18"/>
        </w:rPr>
        <w:t xml:space="preserve"> Solo existe capital recibido cuando hay instrumento firmado, condiciones de cierre satisfechas y wire confirmado en cuenta de empresa/escrow.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Cliente no significa inversor.</w:t>
      </w:r>
      <w:r>
        <w:rPr>
          <w:rFonts w:ascii="Plus Jakarta Sans" w:hAnsi="Plus Jakarta Sans" w:eastAsia="Plus Jakarta Sans"/>
          <w:sz w:val="18"/>
        </w:rPr>
        <w:t xml:space="preserve"> Una farmacia paga por plataforma y servicios; no recibe dividendos, profit share, equity ni promesa de recuperar su cuota.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Socio comercial no significa accionista.</w:t>
      </w:r>
      <w:r>
        <w:rPr>
          <w:rFonts w:ascii="Plus Jakarta Sans" w:hAnsi="Plus Jakarta Sans" w:eastAsia="Plus Jakarta Sans"/>
          <w:sz w:val="18"/>
        </w:rPr>
        <w:t xml:space="preserve"> Un partner delivery opera bajo contrato/SLA; no obtiene equity por usar la plataforma.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Rol operativo no significa cofundador.</w:t>
      </w:r>
      <w:r>
        <w:rPr>
          <w:rFonts w:ascii="Plus Jakarta Sans" w:hAnsi="Plus Jakarta Sans" w:eastAsia="Plus Jakarta Sans"/>
          <w:sz w:val="18"/>
        </w:rPr>
        <w:t xml:space="preserve"> Co-CEO es hoy un rótulo operativo. Cualquier equity futuro requiere cap table, vesting y revisión legal.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Tres universos separados:</w:t>
      </w:r>
      <w:r>
        <w:rPr>
          <w:rFonts w:ascii="Plus Jakarta Sans" w:hAnsi="Plus Jakarta Sans" w:eastAsia="Plus Jakarta Sans"/>
          <w:sz w:val="18"/>
        </w:rPr>
        <w:t xml:space="preserve"> SAFE, ingresos/prepagos B2B y fondos de pedidos. Significa contratos y ledgers diferenciados; no obliga por sí solo a tres cuentas bancarias. En el piloto, los fondos de pedidos </w:t>
      </w:r>
      <w:r>
        <w:rPr>
          <w:rFonts w:ascii="Plus Jakarta Sans" w:hAnsi="Plus Jakarta Sans" w:eastAsia="Plus Jakarta Sans"/>
          <w:b/>
          <w:color w:val="1E2A5A"/>
          <w:sz w:val="18"/>
        </w:rPr>
        <w:t>nunca entran en Zonix</w:t>
      </w:r>
      <w:r>
        <w:rPr>
          <w:rFonts w:ascii="Plus Jakarta Sans" w:hAnsi="Plus Jakarta Sans" w:eastAsia="Plus Jakarta Sans"/>
          <w:sz w:val="18"/>
        </w:rPr>
        <w:t xml:space="preserve">: el paciente paga directo a farmacia y </w:t>
      </w:r>
      <w:r>
        <w:rPr>
          <w:rFonts w:ascii="Consolas" w:hAnsi="Consolas" w:eastAsia="Consolas"/>
          <w:color w:val="0F4C5C"/>
          <w:sz w:val="17"/>
        </w:rPr>
        <w:t>delivery_company</w:t>
      </w:r>
      <w:r>
        <w:rPr>
          <w:rFonts w:ascii="Plus Jakarta Sans" w:hAnsi="Plus Jakarta Sans" w:eastAsia="Plus Jakarta Sans"/>
          <w:sz w:val="18"/>
        </w:rPr>
        <w:t>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Caja cobrada no es revenue ni capital libre.</w:t>
      </w:r>
      <w:r>
        <w:rPr>
          <w:rFonts w:ascii="Plus Jakarta Sans" w:hAnsi="Plus Jakarta Sans" w:eastAsia="Plus Jakarta Sans"/>
          <w:sz w:val="18"/>
        </w:rPr>
        <w:t xml:space="preserve"> Un prepago puede crear una obligación de servicio y reconocimiento diferido.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Sin retornos prometidos.</w:t>
      </w:r>
      <w:r>
        <w:rPr>
          <w:rFonts w:ascii="Plus Jakarta Sans" w:hAnsi="Plus Jakarta Sans" w:eastAsia="Plus Jakarta Sans"/>
          <w:sz w:val="18"/>
        </w:rPr>
        <w:t xml:space="preserve"> No usar “recuperas tu inversión”, renta garantizada, revenue share o múltiplos en una oferta a clientes.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Sin escasez falsa.</w:t>
      </w:r>
      <w:r>
        <w:rPr>
          <w:rFonts w:ascii="Plus Jakarta Sans" w:hAnsi="Plus Jakarta Sans" w:eastAsia="Plus Jakarta Sans"/>
          <w:sz w:val="18"/>
        </w:rPr>
        <w:t xml:space="preserve"> El límite de una cohorte debe responder a capacidad de onboarding, soporte y operación.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Sin cambiar pricing desde una investigación.</w:t>
      </w:r>
      <w:r>
        <w:rPr>
          <w:rFonts w:ascii="Plus Jakarta Sans" w:hAnsi="Plus Jakarta Sans" w:eastAsia="Plus Jakarta Sans"/>
          <w:sz w:val="18"/>
        </w:rPr>
        <w:t xml:space="preserve"> Toda modificación de 45/60/70 + 8/7/5 o del waiver exige decisión founder, prueba WTP y reproyección.</w:t>
      </w:r>
    </w:p>
    <w:p>
      <w:pPr>
        <w:pStyle w:val="ListNumber"/>
      </w:pPr>
      <w:r>
        <w:rPr>
          <w:rFonts w:ascii="Plus Jakarta Sans" w:hAnsi="Plus Jakarta Sans" w:eastAsia="Plus Jakarta Sans"/>
          <w:b/>
          <w:color w:val="1E2A5A"/>
          <w:sz w:val="18"/>
        </w:rPr>
        <w:t>Sin contacto automático.</w:t>
      </w:r>
      <w:r>
        <w:rPr>
          <w:rFonts w:ascii="Plus Jakarta Sans" w:hAnsi="Plus Jakarta Sans" w:eastAsia="Plus Jakarta Sans"/>
          <w:sz w:val="18"/>
        </w:rPr>
        <w:t xml:space="preserve"> Este plan prepara embudos y materiales; ningún agente contacta inversores, farmacias o aliados sin aprobación explícita.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2. Registro y normalización de evidencia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2.1 Protocolo para cada aporte nuevo</w:t>
      </w:r>
    </w:p>
    <w:p>
      <w:r>
        <w:rPr>
          <w:rFonts w:ascii="Plus Jakarta Sans" w:hAnsi="Plus Jakarta Sans" w:eastAsia="Plus Jakarta Sans"/>
          <w:sz w:val="18"/>
        </w:rPr>
        <w:t>Todo informe, video, libro, conversación o salida de otra IA entra con un ID y se clasifica: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Significado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Efecto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MANTENER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Compatible con fuentes/canon y útil para Zonix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Puede entrar al plan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CORREGIR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Tiene una idea útil, pero cifra, alcance o etiqueta es imprecisa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Entra solo la versión corregida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DESCARTAR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Contradice el modelo, la regulación o la evidencia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 se incorpora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HUMANO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Requiere founder, abogado, contador, asesor regulatorio o dato de campo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No se presenta como decisión</w:t>
            </w:r>
          </w:p>
        </w:tc>
      </w:tr>
    </w:tbl>
    <w:p/>
    <w:p>
      <w:r>
        <w:rPr>
          <w:rFonts w:ascii="Plus Jakarta Sans" w:hAnsi="Plus Jakarta Sans" w:eastAsia="Plus Jakarta Sans"/>
          <w:sz w:val="18"/>
        </w:rPr>
        <w:t>Para ser citable, el aporte debe incluir: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texto completo, no solo resumen;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URLs directas y fecha de consulta;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fuente primaria cuando exista;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fórmula y supuestos para cada cálculo;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jurisdicción;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diferencias entre hecho, cálculo e inferencia.</w:t>
      </w:r>
    </w:p>
    <w:p>
      <w:r>
        <w:rPr>
          <w:rFonts w:ascii="Plus Jakarta Sans" w:hAnsi="Plus Jakarta Sans" w:eastAsia="Plus Jakarta Sans"/>
          <w:sz w:val="18"/>
        </w:rPr>
        <w:t xml:space="preserve">Si faltan URLs, el aporte sirve como </w:t>
      </w:r>
      <w:r>
        <w:rPr>
          <w:rFonts w:ascii="Plus Jakarta Sans" w:hAnsi="Plus Jakarta Sans" w:eastAsia="Plus Jakarta Sans"/>
          <w:b/>
          <w:color w:val="1E2A5A"/>
          <w:sz w:val="18"/>
        </w:rPr>
        <w:t>pista de investigación</w:t>
      </w:r>
      <w:r>
        <w:rPr>
          <w:rFonts w:ascii="Plus Jakarta Sans" w:hAnsi="Plus Jakarta Sans" w:eastAsia="Plus Jakarta Sans"/>
          <w:sz w:val="18"/>
        </w:rPr>
        <w:t>, no como fuente externa del data room.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2.2 Fuentes normalizadas en esta versión</w:t>
      </w:r>
    </w:p>
    <w:p>
      <w:pPr>
        <w:pStyle w:val="Heading3"/>
        <w:keepNext/>
      </w:pPr>
      <w:r>
        <w:rPr>
          <w:rFonts w:ascii="Plus Jakarta Sans" w:hAnsi="Plus Jakarta Sans" w:eastAsia="Plus Jakarta Sans"/>
          <w:sz w:val="23"/>
        </w:rPr>
        <w:t>EXT-001 — Primera respuesta de Gemini pegada en chat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MANTENER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La membresía con créditos/servicios es distinta de un instrumento con profit share.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Los USD 2M del caso no son automáticamente revenue o beneficio.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La adaptación Zonix debe separar SAFE, contrato B2B y fondos de pedidos.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CORREGIR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“Security inequívoco” → </w:t>
      </w:r>
      <w:r>
        <w:rPr>
          <w:rFonts w:ascii="Plus Jakarta Sans" w:hAnsi="Plus Jakarta Sans" w:eastAsia="Plus Jakarta Sans"/>
          <w:b/>
          <w:color w:val="1E2A5A"/>
          <w:sz w:val="18"/>
        </w:rPr>
        <w:t>riesgo de ser tratado como contrato de inversión</w:t>
      </w:r>
      <w:r>
        <w:rPr>
          <w:rFonts w:ascii="Plus Jakarta Sans" w:hAnsi="Plus Jakarta Sans" w:eastAsia="Plus Jakarta Sans"/>
          <w:sz w:val="18"/>
        </w:rPr>
        <w:t>, según hechos, promoción y jurisdicción.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“Fraude” → una oferta no registrada no prueba por sí sola fraude; no usar esa etiqueta sin hechos adicionales.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“Ponzi por TIR alta” → una rentabilidad extrema es una alerta, no prueba el uso de dinero nuevo para pagar participantes anteriores.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TIR </w:t>
      </w:r>
      <w:r>
        <w:rPr>
          <w:rFonts w:ascii="Consolas" w:hAnsi="Consolas" w:eastAsia="Consolas"/>
          <w:color w:val="0F4C5C"/>
          <w:sz w:val="17"/>
        </w:rPr>
        <w:t>[-10k,+10k,+15k,+25k]</w:t>
      </w:r>
      <w:r>
        <w:rPr>
          <w:rFonts w:ascii="Plus Jakarta Sans" w:hAnsi="Plus Jakarta Sans" w:eastAsia="Plus Jakarta Sans"/>
          <w:sz w:val="18"/>
        </w:rPr>
        <w:t xml:space="preserve"> → </w:t>
      </w:r>
      <w:r>
        <w:rPr>
          <w:rFonts w:ascii="Plus Jakarta Sans" w:hAnsi="Plus Jakarta Sans" w:eastAsia="Plus Jakarta Sans"/>
          <w:b/>
          <w:color w:val="1E2A5A"/>
          <w:sz w:val="18"/>
        </w:rPr>
        <w:t>~119,9%</w:t>
      </w:r>
      <w:r>
        <w:rPr>
          <w:rFonts w:ascii="Plus Jakarta Sans" w:hAnsi="Plus Jakarta Sans" w:eastAsia="Plus Jakarta Sans"/>
          <w:sz w:val="18"/>
        </w:rPr>
        <w:t>, no ~122%, y solo aplica si todos son flujos monetarios.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“Técnicamente quebrado” → los supuestos pueden mostrar un </w:t>
      </w:r>
      <w:r>
        <w:rPr>
          <w:rFonts w:ascii="Plus Jakarta Sans" w:hAnsi="Plus Jakarta Sans" w:eastAsia="Plus Jakarta Sans"/>
          <w:b/>
          <w:color w:val="1E2A5A"/>
          <w:sz w:val="18"/>
        </w:rPr>
        <w:t>déficit de liquidez</w:t>
      </w:r>
      <w:r>
        <w:rPr>
          <w:rFonts w:ascii="Plus Jakarta Sans" w:hAnsi="Plus Jakarta Sans" w:eastAsia="Plus Jakarta Sans"/>
          <w:sz w:val="18"/>
        </w:rPr>
        <w:t>, no insolvencia jurídica automática.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“USD 35k compra 8%” → el relato presenta una garantía reembolsable y una promesa de equity; la relación entre ambas no está demostrada.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“SAFE USD 237.412 recaudado” → es </w:t>
      </w:r>
      <w:r>
        <w:rPr>
          <w:rFonts w:ascii="Plus Jakarta Sans" w:hAnsi="Plus Jakarta Sans" w:eastAsia="Plus Jakarta Sans"/>
          <w:b/>
          <w:color w:val="1E2A5A"/>
          <w:sz w:val="18"/>
        </w:rPr>
        <w:t>ask/meta</w:t>
      </w:r>
      <w:r>
        <w:rPr>
          <w:rFonts w:ascii="Plus Jakarta Sans" w:hAnsi="Plus Jakarta Sans" w:eastAsia="Plus Jakarta Sans"/>
          <w:sz w:val="18"/>
        </w:rPr>
        <w:t>, no dinero recibido.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DESCARTAR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50 farmacias × USD 1.500/año.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0% de comisión GMV.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Profit share o recuperación de cuota para farmacias.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Etiquetas concluyentes de fraude, Ponzi o quiebra.</w:t>
      </w:r>
    </w:p>
    <w:p>
      <w:pPr>
        <w:pStyle w:val="Heading3"/>
        <w:keepNext/>
      </w:pPr>
      <w:r>
        <w:rPr>
          <w:rFonts w:ascii="Plus Jakarta Sans" w:hAnsi="Plus Jakarta Sans" w:eastAsia="Plus Jakarta Sans"/>
          <w:sz w:val="23"/>
        </w:rPr>
        <w:t>EXT-002 — Deep Research Gemini en DOCX, aportado el 20 agosto 2026</w:t>
      </w:r>
    </w:p>
    <w:p>
      <w:r>
        <w:rPr>
          <w:rFonts w:ascii="Plus Jakarta Sans" w:hAnsi="Plus Jakarta Sans" w:eastAsia="Plus Jakarta Sans"/>
          <w:sz w:val="18"/>
        </w:rPr>
        <w:t xml:space="preserve">Archivo local aportado por el founder: </w:t>
      </w:r>
      <w:r>
        <w:rPr>
          <w:rFonts w:ascii="Consolas" w:hAnsi="Consolas" w:eastAsia="Consolas"/>
          <w:color w:val="0F4C5C"/>
          <w:sz w:val="17"/>
        </w:rPr>
        <w:t>Forense financiero independiente de una adquisición financiada por clientes.docx</w:t>
      </w:r>
      <w:r>
        <w:rPr>
          <w:rFonts w:ascii="Plus Jakarta Sans" w:hAnsi="Plus Jakarta Sans" w:eastAsia="Plus Jakarta Sans"/>
          <w:sz w:val="18"/>
        </w:rPr>
        <w:t>. No está versionado en el repo.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MANTENER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Taxonomía híbrida: customer-funded acquisition + membresía prepaga + transición operativa + componentes separados de equity/inversión.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Diferencia entre LBO, seller financing, earnout y crowdfunding de recompensas.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IFRS 15: prepago por servicios futuros puede ser contract liability.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significant financing component y la clasificación IAS 32 dependen del contrato; no son automáticos.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P10/P50/P90 no deben fabricarse sin distribución probabilística.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La membresía comercial, la inversión y el equity de operadores deben separarse.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La cohorte Zonix se limita al canon de máximo 10 farmacias y el prepago anual queda para después de validar servicio.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CORREGIR</w:t>
      </w:r>
    </w:p>
    <w:p>
      <w:pPr>
        <w:pStyle w:val="ListBullet"/>
      </w:pPr>
      <w:r>
        <w:rPr>
          <w:rFonts w:ascii="Plus Jakarta Sans" w:hAnsi="Plus Jakarta Sans" w:eastAsia="Plus Jakarta Sans"/>
          <w:b/>
          <w:color w:val="1E2A5A"/>
          <w:sz w:val="18"/>
        </w:rPr>
        <w:t>Puente de caja del reel:</w:t>
      </w:r>
      <w:r>
        <w:rPr>
          <w:rFonts w:ascii="Plus Jakarta Sans" w:hAnsi="Plus Jakarta Sans" w:eastAsia="Plus Jakarta Sans"/>
          <w:sz w:val="18"/>
        </w:rPr>
        <w:t xml:space="preserve"> el DOCX resta dos veces USD 175k al tratar como una misma partida el depósito del comprador y las garantías reembolsables de operadores. La custodia permite afirmar: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caja de clientes que excede el precio total: 2M − 1,75M = </w:t>
      </w:r>
      <w:r>
        <w:rPr>
          <w:rFonts w:ascii="Plus Jakarta Sans" w:hAnsi="Plus Jakarta Sans" w:eastAsia="Plus Jakarta Sans"/>
          <w:b/>
          <w:color w:val="1E2A5A"/>
          <w:sz w:val="18"/>
        </w:rPr>
        <w:t>250k</w:t>
      </w:r>
      <w:r>
        <w:rPr>
          <w:rFonts w:ascii="Plus Jakarta Sans" w:hAnsi="Plus Jakarta Sans" w:eastAsia="Plus Jakarta Sans"/>
          <w:sz w:val="18"/>
        </w:rPr>
        <w:t>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depósito del comprador ya aplicado al precio: </w:t>
      </w:r>
      <w:r>
        <w:rPr>
          <w:rFonts w:ascii="Plus Jakarta Sans" w:hAnsi="Plus Jakarta Sans" w:eastAsia="Plus Jakarta Sans"/>
          <w:b/>
          <w:color w:val="1E2A5A"/>
          <w:sz w:val="18"/>
        </w:rPr>
        <w:t>175k</w:t>
      </w:r>
      <w:r>
        <w:rPr>
          <w:rFonts w:ascii="Plus Jakarta Sans" w:hAnsi="Plus Jakarta Sans" w:eastAsia="Plus Jakarta Sans"/>
          <w:sz w:val="18"/>
        </w:rPr>
        <w:t>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caja física después de cobrar membresías y pagar el saldo: 2M − 1,575M = </w:t>
      </w:r>
      <w:r>
        <w:rPr>
          <w:rFonts w:ascii="Plus Jakarta Sans" w:hAnsi="Plus Jakarta Sans" w:eastAsia="Plus Jakarta Sans"/>
          <w:b/>
          <w:color w:val="1E2A5A"/>
          <w:sz w:val="18"/>
        </w:rPr>
        <w:t>425k</w:t>
      </w:r>
      <w:r>
        <w:rPr>
          <w:rFonts w:ascii="Plus Jakarta Sans" w:hAnsi="Plus Jakarta Sans" w:eastAsia="Plus Jakarta Sans"/>
          <w:sz w:val="18"/>
        </w:rPr>
        <w:t>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garantías de operadores: </w:t>
      </w:r>
      <w:r>
        <w:rPr>
          <w:rFonts w:ascii="Consolas" w:hAnsi="Consolas" w:eastAsia="Consolas"/>
          <w:color w:val="0F4C5C"/>
          <w:sz w:val="17"/>
        </w:rPr>
        <w:t>35k × N</w:t>
      </w:r>
      <w:r>
        <w:rPr>
          <w:rFonts w:ascii="Plus Jakarta Sans" w:hAnsi="Plus Jakarta Sans" w:eastAsia="Plus Jakarta Sans"/>
          <w:sz w:val="18"/>
        </w:rPr>
        <w:t xml:space="preserve"> agregan caja y un pasivo igual; si se segregan, su efecto neto es cero.</w:t>
      </w:r>
    </w:p>
    <w:p>
      <w:r>
        <w:rPr>
          <w:rFonts w:ascii="Plus Jakarta Sans" w:hAnsi="Plus Jakarta Sans" w:eastAsia="Plus Jakarta Sans"/>
          <w:sz w:val="18"/>
        </w:rPr>
        <w:t xml:space="preserve">Los 250k son el exceso de caja </w:t>
      </w:r>
      <w:r>
        <w:rPr>
          <w:rFonts w:ascii="Plus Jakarta Sans" w:hAnsi="Plus Jakarta Sans" w:eastAsia="Plus Jakarta Sans"/>
          <w:b/>
          <w:color w:val="1E2A5A"/>
          <w:sz w:val="18"/>
        </w:rPr>
        <w:t>de clientes</w:t>
      </w:r>
      <w:r>
        <w:rPr>
          <w:rFonts w:ascii="Plus Jakarta Sans" w:hAnsi="Plus Jakarta Sans" w:eastAsia="Plus Jakarta Sans"/>
          <w:sz w:val="18"/>
        </w:rPr>
        <w:t xml:space="preserve"> sobre el precio; no son la caja posterior a devolver garantías. Ninguna cifra es “profit” o caja libre.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La tabla del DOCX nombra tiers </w:t>
      </w:r>
      <w:r>
        <w:rPr>
          <w:rFonts w:ascii="Consolas" w:hAnsi="Consolas" w:eastAsia="Consolas"/>
          <w:color w:val="0F4C5C"/>
          <w:sz w:val="17"/>
        </w:rPr>
        <w:t>Basic/Growth/Pro</w:t>
      </w:r>
      <w:r>
        <w:rPr>
          <w:rFonts w:ascii="Plus Jakarta Sans" w:hAnsi="Plus Jakarta Sans" w:eastAsia="Plus Jakarta Sans"/>
          <w:sz w:val="18"/>
        </w:rPr>
        <w:t xml:space="preserve">; el canon Zonix es </w:t>
      </w:r>
      <w:r>
        <w:rPr>
          <w:rFonts w:ascii="Plus Jakarta Sans" w:hAnsi="Plus Jakarta Sans" w:eastAsia="Plus Jakarta Sans"/>
          <w:b/>
          <w:color w:val="1E2A5A"/>
          <w:sz w:val="18"/>
        </w:rPr>
        <w:t>Basic/Pro/Enterprise</w:t>
      </w:r>
      <w:r>
        <w:rPr>
          <w:rFonts w:ascii="Plus Jakarta Sans" w:hAnsi="Plus Jakarta Sans" w:eastAsia="Plus Jakarta Sans"/>
          <w:sz w:val="18"/>
        </w:rPr>
        <w:t>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8% por operador no se valorará contra el precio del activo hasta conocer vesting, trabajo, derechos y contrato.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Las ventajas “analytics avanzado”, posicionamiento preferente o price lock son posibilidades, no beneficios aprobados ni necesariamente construidos.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PENDIENTE HUMANO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El DOCX exportó citas como marcadores </w:t>
      </w:r>
      <w:r>
        <w:rPr>
          <w:rFonts w:ascii="Consolas" w:hAnsi="Consolas" w:eastAsia="Consolas"/>
          <w:color w:val="0F4C5C"/>
          <w:sz w:val="17"/>
        </w:rPr>
        <w:t>turn...</w:t>
      </w:r>
      <w:r>
        <w:rPr>
          <w:rFonts w:ascii="Plus Jakarta Sans" w:hAnsi="Plus Jakarta Sans" w:eastAsia="Plus Jakarta Sans"/>
          <w:sz w:val="18"/>
        </w:rPr>
        <w:t>, no como URLs utilizables. Solicitar lista de enlaces antes de reutilizar sus cifras externas.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Abogado: análisis SAFE, oferta de valores, publicidad y contratos.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Contador: IFRS/NIIF aplicable, impuestos, reconocimiento y reserva.</w:t>
      </w:r>
    </w:p>
    <w:p>
      <w:pPr>
        <w:pStyle w:val="Heading3"/>
        <w:keepNext/>
      </w:pPr>
      <w:r>
        <w:rPr>
          <w:rFonts w:ascii="Plus Jakarta Sans" w:hAnsi="Plus Jakarta Sans" w:eastAsia="Plus Jakarta Sans"/>
          <w:sz w:val="23"/>
        </w:rPr>
        <w:t>EXT-003 — Informe forense en dos partes (20 agosto 2026)</w:t>
      </w:r>
    </w:p>
    <w:p>
      <w:r>
        <w:rPr>
          <w:rFonts w:ascii="Plus Jakarta Sans" w:hAnsi="Plus Jakarta Sans" w:eastAsia="Plus Jakarta Sans"/>
          <w:sz w:val="18"/>
        </w:rPr>
        <w:t xml:space="preserve">Archivos locales del founder, no versionados: </w:t>
      </w:r>
      <w:r>
        <w:rPr>
          <w:rFonts w:ascii="Consolas" w:hAnsi="Consolas" w:eastAsia="Consolas"/>
          <w:color w:val="0F4C5C"/>
          <w:sz w:val="17"/>
        </w:rPr>
        <w:t>forensic_report_part1.md</w:t>
      </w:r>
      <w:r>
        <w:rPr>
          <w:rFonts w:ascii="Plus Jakarta Sans" w:hAnsi="Plus Jakarta Sans" w:eastAsia="Plus Jakarta Sans"/>
          <w:sz w:val="18"/>
        </w:rPr>
        <w:t xml:space="preserve"> (§1–6.4) y </w:t>
      </w:r>
      <w:r>
        <w:rPr>
          <w:rFonts w:ascii="Consolas" w:hAnsi="Consolas" w:eastAsia="Consolas"/>
          <w:color w:val="0F4C5C"/>
          <w:sz w:val="17"/>
        </w:rPr>
        <w:t>forensic_report_part2.md</w:t>
      </w:r>
      <w:r>
        <w:rPr>
          <w:rFonts w:ascii="Plus Jakarta Sans" w:hAnsi="Plus Jakarta Sans" w:eastAsia="Plus Jakarta Sans"/>
          <w:sz w:val="18"/>
        </w:rPr>
        <w:t xml:space="preserve"> (§7–14). Parte 2 trae bibliografía; varias URLs son homepages o el índice SEC, no el filing puntual (</w:t>
      </w:r>
      <w:r>
        <w:rPr>
          <w:rFonts w:ascii="Consolas" w:hAnsi="Consolas" w:eastAsia="Consolas"/>
          <w:color w:val="0F4C5C"/>
          <w:sz w:val="17"/>
        </w:rPr>
        <w:t>CAP-P08</w:t>
      </w:r>
      <w:r>
        <w:rPr>
          <w:rFonts w:ascii="Plus Jakarta Sans" w:hAnsi="Plus Jakarta Sans" w:eastAsia="Plus Jakarta Sans"/>
          <w:sz w:val="18"/>
        </w:rPr>
        <w:t>).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MANTENER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Taxonomía híbrida; no es LBO, seller financing, earnout ni reward crowdfunding; no es Ponzi automático.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Caja cobrada ≠ revenue; IFRS 15; asignar el precio entre prestaciones reales (créditos vs acceso).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Si hay obligación de entregar efectivo por “parte de ganancias”, se bifurca a IAS 32; no es performance obligation.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Howey, Edwards, Forman, Flyfish 2024 y SUNAVAL/SUNDDE como </w:t>
      </w:r>
      <w:r>
        <w:rPr>
          <w:rFonts w:ascii="Plus Jakarta Sans" w:hAnsi="Plus Jakarta Sans" w:eastAsia="Plus Jakarta Sans"/>
          <w:b/>
          <w:color w:val="1E2A5A"/>
          <w:sz w:val="18"/>
        </w:rPr>
        <w:t>riesgo</w:t>
      </w:r>
      <w:r>
        <w:rPr>
          <w:rFonts w:ascii="Plus Jakarta Sans" w:hAnsi="Plus Jakarta Sans" w:eastAsia="Plus Jakarta Sans"/>
          <w:sz w:val="18"/>
        </w:rPr>
        <w:t>, no como sentencia.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Comparables de consumo puro (Starbucks stored value, Costco, Soho House, Smoke &amp; Mirrors): el modelo de membresía funciona </w:t>
      </w:r>
      <w:r>
        <w:rPr>
          <w:rFonts w:ascii="Plus Jakarta Sans" w:hAnsi="Plus Jakarta Sans" w:eastAsia="Plus Jakarta Sans"/>
          <w:b/>
          <w:color w:val="1E2A5A"/>
          <w:sz w:val="18"/>
        </w:rPr>
        <w:t>sin</w:t>
      </w:r>
      <w:r>
        <w:rPr>
          <w:rFonts w:ascii="Plus Jakarta Sans" w:hAnsi="Plus Jakarta Sans" w:eastAsia="Plus Jakarta Sans"/>
          <w:sz w:val="18"/>
        </w:rPr>
        <w:t xml:space="preserve"> profit share.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Via/Mullins: el float de clientes financia operación, no capex. Zonix no usa pedidos/pacientes como capital.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Bell Inn: una comunidad puede financiar una compra solo con cooperativa formal; no es vehículo Zonix.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Versión “legítima” del caso café: membresía sin retorno + SHA/vesting + deferred revenue. Alinea con S2 (sigue no aprobado).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Checklist para un eventual prepago: abogado, contador, reembolso, unit economics. Encaja en </w:t>
      </w:r>
      <w:r>
        <w:rPr>
          <w:rFonts w:ascii="Consolas" w:hAnsi="Consolas" w:eastAsia="Consolas"/>
          <w:color w:val="0F4C5C"/>
          <w:sz w:val="17"/>
        </w:rPr>
        <w:t>CAP-P03</w:t>
      </w:r>
      <w:r>
        <w:rPr>
          <w:rFonts w:ascii="Plus Jakarta Sans" w:hAnsi="Plus Jakarta Sans" w:eastAsia="Plus Jakarta Sans"/>
          <w:sz w:val="18"/>
        </w:rPr>
        <w:t xml:space="preserve"> / </w:t>
      </w:r>
      <w:r>
        <w:rPr>
          <w:rFonts w:ascii="Consolas" w:hAnsi="Consolas" w:eastAsia="Consolas"/>
          <w:color w:val="0F4C5C"/>
          <w:sz w:val="17"/>
        </w:rPr>
        <w:t>CAP-P04</w:t>
      </w:r>
      <w:r>
        <w:rPr>
          <w:rFonts w:ascii="Plus Jakarta Sans" w:hAnsi="Plus Jakarta Sans" w:eastAsia="Plus Jakarta Sans"/>
          <w:sz w:val="18"/>
        </w:rPr>
        <w:t xml:space="preserve"> / </w:t>
      </w:r>
      <w:r>
        <w:rPr>
          <w:rFonts w:ascii="Consolas" w:hAnsi="Consolas" w:eastAsia="Consolas"/>
          <w:color w:val="0F4C5C"/>
          <w:sz w:val="17"/>
        </w:rPr>
        <w:t>CAP-P05</w:t>
      </w:r>
      <w:r>
        <w:rPr>
          <w:rFonts w:ascii="Plus Jakarta Sans" w:hAnsi="Plus Jakarta Sans" w:eastAsia="Plus Jakarta Sans"/>
          <w:sz w:val="18"/>
        </w:rPr>
        <w:t>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CORREGIR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IRR ≈122% y obligaciones 12M → TIR </w:t>
      </w:r>
      <w:r>
        <w:rPr>
          <w:rFonts w:ascii="Plus Jakarta Sans" w:hAnsi="Plus Jakarta Sans" w:eastAsia="Plus Jakarta Sans"/>
          <w:b/>
          <w:color w:val="1E2A5A"/>
          <w:sz w:val="18"/>
        </w:rPr>
        <w:t>~119,9%</w:t>
      </w:r>
      <w:r>
        <w:rPr>
          <w:rFonts w:ascii="Plus Jakarta Sans" w:hAnsi="Plus Jakarta Sans" w:eastAsia="Plus Jakarta Sans"/>
          <w:sz w:val="18"/>
        </w:rPr>
        <w:t xml:space="preserve"> y </w:t>
      </w:r>
      <w:r>
        <w:rPr>
          <w:rFonts w:ascii="Plus Jakarta Sans" w:hAnsi="Plus Jakarta Sans" w:eastAsia="Plus Jakarta Sans"/>
          <w:b/>
          <w:color w:val="1E2A5A"/>
          <w:sz w:val="18"/>
        </w:rPr>
        <w:t>10M</w:t>
      </w:r>
      <w:r>
        <w:rPr>
          <w:rFonts w:ascii="Plus Jakarta Sans" w:hAnsi="Plus Jakarta Sans" w:eastAsia="Plus Jakarta Sans"/>
          <w:sz w:val="18"/>
        </w:rPr>
        <w:t xml:space="preserve"> si todo fuera cash; no volver a sumar el crédito del año 1.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“35k = 8% → 437,5k”: la garantía es reembolsable; no está demostrado que compre equity.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Puente 250k + garantías = 425k: mismo doble conteo de EXT-002. Canon: 250k = 2M − 1,75M; 425k = 2M − 1,575M.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Howey 4/4 “cumple” y “sin profit share → no security”: demasiado limpio. Howey mira también la promoción.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Starbucks </w:t>
      </w:r>
      <w:r>
        <w:rPr>
          <w:rFonts w:ascii="Plus Jakarta Sans" w:hAnsi="Plus Jakarta Sans" w:eastAsia="Plus Jakarta Sans"/>
          <w:b/>
          <w:color w:val="1E2A5A"/>
          <w:sz w:val="18"/>
        </w:rPr>
        <w:t>1.781,2M FY2024</w:t>
      </w:r>
      <w:r>
        <w:rPr>
          <w:rFonts w:ascii="Plus Jakarta Sans" w:hAnsi="Plus Jakarta Sans" w:eastAsia="Plus Jakarta Sans"/>
          <w:sz w:val="18"/>
        </w:rPr>
        <w:t xml:space="preserve"> vs forense JARVIS </w:t>
      </w:r>
      <w:r>
        <w:rPr>
          <w:rFonts w:ascii="Plus Jakarta Sans" w:hAnsi="Plus Jakarta Sans" w:eastAsia="Plus Jakarta Sans"/>
          <w:b/>
          <w:color w:val="1E2A5A"/>
          <w:sz w:val="18"/>
        </w:rPr>
        <w:t>1.751,7M FY2025</w:t>
      </w:r>
      <w:r>
        <w:rPr>
          <w:rFonts w:ascii="Plus Jakarta Sans" w:hAnsi="Plus Jakarta Sans" w:eastAsia="Plus Jakarta Sans"/>
          <w:sz w:val="18"/>
        </w:rPr>
        <w:t>: no mezclar años.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Cupo 10–15 farmacias → canon </w:t>
      </w:r>
      <w:r>
        <w:rPr>
          <w:rFonts w:ascii="Plus Jakarta Sans" w:hAnsi="Plus Jakarta Sans" w:eastAsia="Plus Jakarta Sans"/>
          <w:b/>
          <w:color w:val="1E2A5A"/>
          <w:sz w:val="18"/>
        </w:rPr>
        <w:t>máximo 10</w:t>
      </w:r>
      <w:r>
        <w:rPr>
          <w:rFonts w:ascii="Plus Jakarta Sans" w:hAnsi="Plus Jakarta Sans" w:eastAsia="Plus Jakarta Sans"/>
          <w:sz w:val="18"/>
        </w:rPr>
        <w:t>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Descuento 10–15% y reserva ≥30% del prepago: no están en el pack; </w:t>
      </w:r>
      <w:r>
        <w:rPr>
          <w:rFonts w:ascii="Consolas" w:hAnsi="Consolas" w:eastAsia="Consolas"/>
          <w:color w:val="0F4C5C"/>
          <w:sz w:val="17"/>
        </w:rPr>
        <w:t>CAP-P03</w:t>
      </w:r>
      <w:r>
        <w:rPr>
          <w:rFonts w:ascii="Plus Jakarta Sans" w:hAnsi="Plus Jakarta Sans" w:eastAsia="Plus Jakarta Sans"/>
          <w:sz w:val="18"/>
        </w:rPr>
        <w:t xml:space="preserve"> / </w:t>
      </w:r>
      <w:r>
        <w:rPr>
          <w:rFonts w:ascii="Consolas" w:hAnsi="Consolas" w:eastAsia="Consolas"/>
          <w:color w:val="0F4C5C"/>
          <w:sz w:val="17"/>
        </w:rPr>
        <w:t>CAP-P04</w:t>
      </w:r>
      <w:r>
        <w:rPr>
          <w:rFonts w:ascii="Plus Jakarta Sans" w:hAnsi="Plus Jakarta Sans" w:eastAsia="Plus Jakarta Sans"/>
          <w:sz w:val="18"/>
        </w:rPr>
        <w:t>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“Triple cuenta bancaria absoluta”: Zonix exige tres </w:t>
      </w:r>
      <w:r>
        <w:rPr>
          <w:rFonts w:ascii="Plus Jakarta Sans" w:hAnsi="Plus Jakarta Sans" w:eastAsia="Plus Jakarta Sans"/>
          <w:b/>
          <w:color w:val="1E2A5A"/>
          <w:sz w:val="18"/>
        </w:rPr>
        <w:t>universos</w:t>
      </w:r>
      <w:r>
        <w:rPr>
          <w:rFonts w:ascii="Plus Jakarta Sans" w:hAnsi="Plus Jakarta Sans" w:eastAsia="Plus Jakarta Sans"/>
          <w:sz w:val="18"/>
        </w:rPr>
        <w:t xml:space="preserve"> (contratos + ledgers). En el piloto el paciente no paga a Zonix. Tres cuentas son opcionales.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P10/P50/P90 de la parte 1: no publicar.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Providencia SUNAVAL 025/2025: pista no verificada.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DESCARTAR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Profit share, retornos 10/15/25k, option fee de 30 días, 8% + depósito a operadores como oferta Zonix.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Community shares / Reg CF / Reg D / Reg A+ como camino de la ronda actual (el instrumento es SAFE Lean).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Copiar 6,67 cierres/día o 67–133 prospectos/día al embudo B2B.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Tesis “compré el tráfico, no la cafetería”.</w:t>
      </w:r>
    </w:p>
    <w:p>
      <w:pPr>
        <w:pStyle w:val="Heading3"/>
        <w:keepNext/>
      </w:pPr>
      <w:r>
        <w:rPr>
          <w:rFonts w:ascii="Plus Jakarta Sans" w:hAnsi="Plus Jakarta Sans" w:eastAsia="Plus Jakarta Sans"/>
          <w:sz w:val="23"/>
        </w:rPr>
        <w:t>INT-001 — Forense JARVIS del reel</w:t>
      </w:r>
    </w:p>
    <w:p>
      <w:r>
        <w:rPr>
          <w:rFonts w:ascii="Plus Jakarta Sans" w:hAnsi="Plus Jakarta Sans" w:eastAsia="Plus Jakarta Sans"/>
          <w:sz w:val="18"/>
        </w:rPr>
        <w:t xml:space="preserve">Fuente consolidada: </w:t>
      </w:r>
      <w:hyperlink r:id="rId12">
        <w:r>
          <w:rPr>
            <w:color w:val="0F4C5C"/>
            <w:u w:val="single"/>
            <w:rFonts w:ascii="Plus Jakarta Sans" w:hAnsi="Plus Jakarta Sans"/>
          </w:rPr>
          <w:t>Anexo A — evidencia del video Café</w:t>
        </w:r>
      </w:hyperlink>
      <w:r>
        <w:rPr>
          <w:rFonts w:ascii="Plus Jakarta Sans" w:hAnsi="Plus Jakarta Sans" w:eastAsia="Plus Jakarta Sans"/>
          <w:sz w:val="18"/>
        </w:rPr>
        <w:t>.</w:t>
      </w:r>
    </w:p>
    <w:p>
      <w:r>
        <w:rPr>
          <w:rFonts w:ascii="Plus Jakarta Sans" w:hAnsi="Plus Jakarta Sans" w:eastAsia="Plus Jakarta Sans"/>
          <w:sz w:val="18"/>
        </w:rPr>
        <w:t>Uso aprobado: taxonomía, modelo numérico, fuentes y límites de adaptación. No usarlo como prueba de que el negocio del reel existió.</w:t>
      </w:r>
    </w:p>
    <w:p>
      <w:pPr>
        <w:pStyle w:val="Heading3"/>
        <w:keepNext/>
      </w:pPr>
      <w:r>
        <w:rPr>
          <w:rFonts w:ascii="Plus Jakarta Sans" w:hAnsi="Plus Jakarta Sans" w:eastAsia="Plus Jakarta Sans"/>
          <w:sz w:val="23"/>
        </w:rPr>
        <w:t>EXT-004 — Video Kleo / método de pre-lanzamiento (20 agosto 2026)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Fuente visual:</w:t>
      </w:r>
      <w:r>
        <w:rPr>
          <w:rFonts w:ascii="Plus Jakarta Sans" w:hAnsi="Plus Jakarta Sans" w:eastAsia="Plus Jakarta Sans"/>
          <w:sz w:val="18"/>
        </w:rPr>
        <w:t xml:space="preserve"> </w:t>
      </w:r>
      <w:hyperlink r:id="rId13">
        <w:r>
          <w:rPr>
            <w:color w:val="0F4C5C"/>
            <w:u w:val="single"/>
            <w:rFonts w:ascii="Plus Jakarta Sans" w:hAnsi="Plus Jakarta Sans"/>
          </w:rPr>
          <w:t>reel de @nivedan.ai</w:t>
        </w:r>
      </w:hyperlink>
      <w:r>
        <w:rPr>
          <w:rFonts w:ascii="Plus Jakarta Sans" w:hAnsi="Plus Jakarta Sans" w:eastAsia="Plus Jakarta Sans"/>
          <w:sz w:val="18"/>
        </w:rPr>
        <w:t xml:space="preserve"> (</w:t>
      </w:r>
      <w:r>
        <w:rPr>
          <w:rFonts w:ascii="Consolas" w:hAnsi="Consolas" w:eastAsia="Consolas"/>
          <w:color w:val="0F4C5C"/>
          <w:sz w:val="17"/>
        </w:rPr>
        <w:t>#ad</w:t>
      </w:r>
      <w:r>
        <w:rPr>
          <w:rFonts w:ascii="Plus Jakarta Sans" w:hAnsi="Plus Jakarta Sans" w:eastAsia="Plus Jakarta Sans"/>
          <w:sz w:val="18"/>
        </w:rPr>
        <w:t xml:space="preserve">, </w:t>
      </w:r>
      <w:r>
        <w:rPr>
          <w:rFonts w:ascii="Consolas" w:hAnsi="Consolas" w:eastAsia="Consolas"/>
          <w:color w:val="0F4C5C"/>
          <w:sz w:val="17"/>
        </w:rPr>
        <w:t>#MiroPartner</w:t>
      </w:r>
      <w:r>
        <w:rPr>
          <w:rFonts w:ascii="Plus Jakarta Sans" w:hAnsi="Plus Jakarta Sans" w:eastAsia="Plus Jakarta Sans"/>
          <w:sz w:val="18"/>
        </w:rPr>
        <w:t xml:space="preserve">), MP4 local y ASR faster-whisper. Es un anuncio corto de Miro que relata el caso Kleo; </w:t>
      </w:r>
      <w:r>
        <w:rPr>
          <w:rFonts w:ascii="Plus Jakarta Sans" w:hAnsi="Plus Jakarta Sans" w:eastAsia="Plus Jakarta Sans"/>
          <w:b/>
          <w:color w:val="1E2A5A"/>
          <w:sz w:val="18"/>
        </w:rPr>
        <w:t>no</w:t>
      </w:r>
      <w:r>
        <w:rPr>
          <w:rFonts w:ascii="Plus Jakarta Sans" w:hAnsi="Plus Jakarta Sans" w:eastAsia="Plus Jakarta Sans"/>
          <w:sz w:val="18"/>
        </w:rPr>
        <w:t xml:space="preserve"> es una auditoría de sus ingresos.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Método útil, sin cifras ajenas: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Mecanismo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Adaptación Zonix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1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Contenido de problema, no pitch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Hablar de quiebres B2B confirmados por mom-test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2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Señal de interés identificable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Formulario inbound de evaluación/prueba, no waitlist paciente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3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Cohorte chica que se pueda atender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Alfa: hasta 10 prueban la app; Beta: solo después del uso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4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Segunda tanda tras aprender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Escalar post-wire si el onboarding es repetible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71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71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lus Jakarta Sans" w:hAnsi="Plus Jakarta Sans" w:eastAsia="Plus Jakarta Sans"/>
          <w:b/>
          <w:i/>
          <w:color w:val="0F4C5C"/>
          <w:sz w:val="16"/>
        </w:rPr>
        <w:t>Progresión de señales: una waitlist no sustituye el uso real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Hechos y claims que no deben mezclarse: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audio afirma 12.000 inscritos, 500 personas a USD 59, una segunda tanda a USD 79 y USD 61.000/mes antes del lanzamiento público.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dashboard visual muestra USD 61.910; es un claim del caso, no un estado financiero auditado.</w:t>
      </w:r>
    </w:p>
    <w:p>
      <w:pPr>
        <w:pStyle w:val="ListBullet"/>
      </w:pPr>
      <w:r>
        <w:rPr>
          <w:rFonts w:ascii="Consolas" w:hAnsi="Consolas" w:eastAsia="Consolas"/>
          <w:color w:val="0F4C5C"/>
          <w:sz w:val="17"/>
        </w:rPr>
        <w:t>500 × 59 = 29.500</w:t>
      </w:r>
      <w:r>
        <w:rPr>
          <w:rFonts w:ascii="Plus Jakarta Sans" w:hAnsi="Plus Jakarta Sans" w:eastAsia="Plus Jakarta Sans"/>
          <w:sz w:val="18"/>
        </w:rPr>
        <w:t xml:space="preserve">; </w:t>
      </w:r>
      <w:r>
        <w:rPr>
          <w:rFonts w:ascii="Consolas" w:hAnsi="Consolas" w:eastAsia="Consolas"/>
          <w:color w:val="0F4C5C"/>
          <w:sz w:val="17"/>
        </w:rPr>
        <w:t>500 × 79 = 39.500</w:t>
      </w:r>
      <w:r>
        <w:rPr>
          <w:rFonts w:ascii="Plus Jakarta Sans" w:hAnsi="Plus Jakarta Sans" w:eastAsia="Plus Jakarta Sans"/>
          <w:sz w:val="18"/>
        </w:rPr>
        <w:t xml:space="preserve">; juntas serían </w:t>
      </w:r>
      <w:r>
        <w:rPr>
          <w:rFonts w:ascii="Plus Jakarta Sans" w:hAnsi="Plus Jakarta Sans" w:eastAsia="Plus Jakarta Sans"/>
          <w:b/>
          <w:color w:val="1E2A5A"/>
          <w:sz w:val="18"/>
        </w:rPr>
        <w:t>69.000</w:t>
      </w:r>
      <w:r>
        <w:rPr>
          <w:rFonts w:ascii="Plus Jakarta Sans" w:hAnsi="Plus Jakarta Sans" w:eastAsia="Plus Jakarta Sans"/>
          <w:sz w:val="18"/>
        </w:rPr>
        <w:t>, no 61.000 ni 62.000.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Las fuentes más cercanas al equipo describen </w:t>
      </w:r>
      <w:r>
        <w:rPr>
          <w:rFonts w:ascii="Plus Jakarta Sans" w:hAnsi="Plus Jakarta Sans" w:eastAsia="Plus Jakarta Sans"/>
          <w:b/>
          <w:color w:val="1E2A5A"/>
          <w:sz w:val="18"/>
        </w:rPr>
        <w:t>USD 59/mes</w:t>
      </w:r>
      <w:r>
        <w:rPr>
          <w:rFonts w:ascii="Plus Jakarta Sans" w:hAnsi="Plus Jakarta Sans" w:eastAsia="Plus Jakarta Sans"/>
          <w:sz w:val="18"/>
        </w:rPr>
        <w:t xml:space="preserve"> con descuento bloqueado, no un pago único lifetime. Si fuera pago único, sería caja one-shot y tampoco MRR.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Un snapshot con unas 400 personas en la segunda tanda podría aproximar 61,1k; por eso la discrepancia no demuestra fraude, pero impide usar 61k como benchmark.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Kleo no partió de cero: Kleo 1.0 reportó ~60–70k usuarios; Jake tenía ~180k seguidores y Lara ~300k. Esa distribución no existe hoy en el beachhead Zonix.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Waitlist reportada 10–20k+, rebuild ~4 semanas y 53 días/3 meses son relojes de fuentes distintas; no se trasladan a la Fase 0 T+90.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Los seis playbooks no son las cuatro fases del reel.</w:t>
      </w:r>
      <w:r>
        <w:rPr>
          <w:rFonts w:ascii="Plus Jakarta Sans" w:hAnsi="Plus Jakarta Sans" w:eastAsia="Plus Jakarta Sans"/>
          <w:sz w:val="18"/>
        </w:rPr>
        <w:t xml:space="preserve"> El podcast Rob Hoffman + Greg Isenberg trata seis estrategias distintas: Waitlist (Kleo/Mentions), Wave Surfer (TrustMRR), Language (Teachizy), AI Search (Tally), Signal (LocalRank) y High-ticket Ads (MailScale). Para captación piloto Zonix solo se conserva el orden de señales del primero; los otros cinco no se implementan como método.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MANTENER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problema → señal cualificada → cohorte atendible → aprendizaje → expansión;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unidad de aprendizaje = farmacia, no usuario SaaS;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contenido B2B + mom-test + formulario inbound fuera de la app;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log de incidencias y gate de no ampliar mientras se repitan fallos críticos;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evidencia E3–E5 para el pitch, sin convertir farmacias en inversionistas.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CORREGIR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escasez → capacidad real, no FOMO;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«segunda tanda más cara» → menú 45/60/70 vigente, sin cambios por el video;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50+ llamadas SaaS → visitas/minutas proporcionales a un beachhead de hasta 10;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pre-launch → acceso limitado con uso real, no «producto inexistente».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DESCARTAR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61k, 12k, 500, 59/79/99 como metas Zonix;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lifetime, CTA «comenta LAUNCH», tablero Miro como prueba y waitlist masiva de pacientes;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Rolling SAFE, cap 800k, exclusividad logística y calendario de cuatro semanas;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feature waitlist en Flutter/Laravel o reutilizar </w:t>
      </w:r>
      <w:r>
        <w:rPr>
          <w:rFonts w:ascii="Consolas" w:hAnsi="Consolas" w:eastAsia="Consolas"/>
          <w:color w:val="0F4C5C"/>
          <w:sz w:val="17"/>
        </w:rPr>
        <w:t>SubscriberController</w:t>
      </w:r>
      <w:r>
        <w:rPr>
          <w:rFonts w:ascii="Plus Jakarta Sans" w:hAnsi="Plus Jakarta Sans" w:eastAsia="Plus Jakarta Sans"/>
          <w:sz w:val="18"/>
        </w:rPr>
        <w:t xml:space="preserve"> para farmacias.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3. Canon que no cambia por este experimento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Estado vigente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Etapa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Pre-seed / pre-revenue; piloto Valencia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Capital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b/>
                <w:color w:val="1E2A5A"/>
                <w:sz w:val="15"/>
              </w:rPr>
              <w:t>Ask USD 237.412</w:t>
            </w:r>
            <w:r>
              <w:rPr>
                <w:rFonts w:ascii="Plus Jakarta Sans" w:hAnsi="Plus Jakarta Sans" w:eastAsia="Plus Jakarta Sans"/>
                <w:sz w:val="15"/>
              </w:rPr>
              <w:t>, todavía no recaudado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Instrumento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 xml:space="preserve">SAFE post-money cap </w:t>
            </w:r>
            <w:r>
              <w:rPr>
                <w:rFonts w:ascii="Plus Jakarta Sans" w:hAnsi="Plus Jakarta Sans" w:eastAsia="Plus Jakarta Sans"/>
                <w:b/>
                <w:color w:val="1E2A5A"/>
                <w:sz w:val="15"/>
              </w:rPr>
              <w:t>USD 600.000</w:t>
            </w:r>
            <w:r>
              <w:rPr>
                <w:rFonts w:ascii="Plus Jakarta Sans" w:hAnsi="Plus Jakarta Sans" w:eastAsia="Plus Jakarta Sans"/>
                <w:sz w:val="15"/>
              </w:rPr>
              <w:t xml:space="preserve"> </w:t>
            </w:r>
            <w:r>
              <w:rPr>
                <w:rFonts w:ascii="Consolas" w:hAnsi="Consolas" w:eastAsia="Consolas"/>
                <w:color w:val="0F4C5C"/>
                <w:sz w:val="14"/>
              </w:rPr>
              <w:t>[PENDIENTE abogado VE]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Equity de referencia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b/>
                <w:color w:val="1E2A5A"/>
                <w:sz w:val="15"/>
              </w:rPr>
              <w:t>~39,57% al convertir si aplica el cap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Fase 0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T+0→T+90; T+0 ocurre tras condiciones de cierre + wire liberado/utilizable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Pricing farmacia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 xml:space="preserve">Basic </w:t>
            </w:r>
            <w:r>
              <w:rPr>
                <w:rFonts w:ascii="Plus Jakarta Sans" w:hAnsi="Plus Jakarta Sans" w:eastAsia="Plus Jakarta Sans"/>
                <w:b/>
                <w:color w:val="1E2A5A"/>
                <w:sz w:val="15"/>
              </w:rPr>
              <w:t>45 + 8%</w:t>
            </w:r>
            <w:r>
              <w:rPr>
                <w:rFonts w:ascii="Plus Jakarta Sans" w:hAnsi="Plus Jakarta Sans" w:eastAsia="Plus Jakarta Sans"/>
                <w:sz w:val="15"/>
              </w:rPr>
              <w:t xml:space="preserve">, Pro </w:t>
            </w:r>
            <w:r>
              <w:rPr>
                <w:rFonts w:ascii="Plus Jakarta Sans" w:hAnsi="Plus Jakarta Sans" w:eastAsia="Plus Jakarta Sans"/>
                <w:b/>
                <w:color w:val="1E2A5A"/>
                <w:sz w:val="15"/>
              </w:rPr>
              <w:t>60 + 7%</w:t>
            </w:r>
            <w:r>
              <w:rPr>
                <w:rFonts w:ascii="Plus Jakarta Sans" w:hAnsi="Plus Jakarta Sans" w:eastAsia="Plus Jakarta Sans"/>
                <w:sz w:val="15"/>
              </w:rPr>
              <w:t xml:space="preserve">, Enterprise </w:t>
            </w:r>
            <w:r>
              <w:rPr>
                <w:rFonts w:ascii="Plus Jakarta Sans" w:hAnsi="Plus Jakarta Sans" w:eastAsia="Plus Jakarta Sans"/>
                <w:b/>
                <w:color w:val="1E2A5A"/>
                <w:sz w:val="15"/>
              </w:rPr>
              <w:t>70 + 5%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Waiver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Cuota fija USD 0, meses 1–2, máximo 10 farmacias; GMV se mide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Pagos paciente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Directo a farmacia y empresa delivery; no pasan por Zonix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Última milla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 xml:space="preserve">Partner </w:t>
            </w:r>
            <w:r>
              <w:rPr>
                <w:rFonts w:ascii="Consolas" w:hAnsi="Consolas" w:eastAsia="Consolas"/>
                <w:color w:val="0F4C5C"/>
                <w:sz w:val="14"/>
              </w:rPr>
              <w:t>delivery_company</w:t>
            </w:r>
            <w:r>
              <w:rPr>
                <w:rFonts w:ascii="Plus Jakarta Sans" w:hAnsi="Plus Jakarta Sans" w:eastAsia="Plus Jakarta Sans"/>
                <w:sz w:val="15"/>
              </w:rPr>
              <w:t>; sin flota Zonix</w:t>
            </w:r>
          </w:p>
        </w:tc>
      </w:tr>
    </w:tbl>
    <w:p/>
    <w:p>
      <w:r>
        <w:rPr>
          <w:rFonts w:ascii="Plus Jakarta Sans" w:hAnsi="Plus Jakarta Sans" w:eastAsia="Plus Jakarta Sans"/>
          <w:b/>
          <w:color w:val="1E2A5A"/>
          <w:sz w:val="18"/>
        </w:rPr>
        <w:t>Ambigüedad a cerrar:</w:t>
      </w:r>
      <w:r>
        <w:rPr>
          <w:rFonts w:ascii="Plus Jakarta Sans" w:hAnsi="Plus Jakarta Sans" w:eastAsia="Plus Jakarta Sans"/>
          <w:sz w:val="18"/>
        </w:rPr>
        <w:t xml:space="preserve"> el contrato y la proyección deben decir expresamente si durante el waiver se cobra o no el componente </w:t>
      </w:r>
      <w:r>
        <w:rPr>
          <w:rFonts w:ascii="Consolas" w:hAnsi="Consolas" w:eastAsia="Consolas"/>
          <w:color w:val="0F4C5C"/>
          <w:sz w:val="17"/>
        </w:rPr>
        <w:t>%GMV</w:t>
      </w:r>
      <w:r>
        <w:rPr>
          <w:rFonts w:ascii="Plus Jakarta Sans" w:hAnsi="Plus Jakarta Sans" w:eastAsia="Plus Jakarta Sans"/>
          <w:sz w:val="18"/>
        </w:rPr>
        <w:t xml:space="preserve">. Hasta cerrar </w:t>
      </w:r>
      <w:r>
        <w:rPr>
          <w:rFonts w:ascii="Consolas" w:hAnsi="Consolas" w:eastAsia="Consolas"/>
          <w:color w:val="0F4C5C"/>
          <w:sz w:val="17"/>
        </w:rPr>
        <w:t>CAP-P01</w:t>
      </w:r>
      <w:r>
        <w:rPr>
          <w:rFonts w:ascii="Plus Jakarta Sans" w:hAnsi="Plus Jakarta Sans" w:eastAsia="Plus Jakarta Sans"/>
          <w:sz w:val="18"/>
        </w:rPr>
        <w:t>, no prometer una interpretación distinta a una contraparte.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3.1 Tres universos de dinero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91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lus Jakarta Sans" w:hAnsi="Plus Jakarta Sans" w:eastAsia="Plus Jakarta Sans"/>
          <w:b/>
          <w:i/>
          <w:color w:val="0F4C5C"/>
          <w:sz w:val="16"/>
        </w:rPr>
        <w:t>Tres universos de dinero que no se mezclan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Universo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Instrumento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¿Entra en caja Zonix?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Prohibición principal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Capital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SAFE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Sí, solo tras cierre + wire liberado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 decir «recaudado» ante interés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Ingreso B2B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Contrato farmacia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Sí, según cuota/%GMV y reconocimiento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No prometer retorno/equity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Pedidos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Pago paciente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 en el piloto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 usar patient float como capital</w:t>
            </w:r>
          </w:p>
        </w:tc>
      </w:tr>
    </w:tbl>
    <w:p/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4. Carril A — inversionistas financieros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4.1 Resultado buscado</w:t>
      </w:r>
    </w:p>
    <w:p>
      <w:r>
        <w:rPr>
          <w:rFonts w:ascii="Plus Jakarta Sans" w:hAnsi="Plus Jakarta Sans" w:eastAsia="Plus Jakarta Sans"/>
          <w:sz w:val="18"/>
        </w:rPr>
        <w:t>Cerrar el ask pre-seed para financiar Fase 0 y 12 meses post-Day-D sin disfrazar clientes o partners como inversionistas.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4.2 Intercambio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Parte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Aporta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Recibe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Inversor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Capital y, si se acuerda, experiencia/referencias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Derechos del SAFE y reporting; no retorno garantizado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Zonix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Instrumento, información verificable y ejecución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Capital sujeto a cierre</w:t>
            </w:r>
          </w:p>
        </w:tc>
      </w:tr>
    </w:tbl>
    <w:p/>
    <w:p>
      <w:r>
        <w:rPr>
          <w:rFonts w:ascii="Plus Jakarta Sans" w:hAnsi="Plus Jakarta Sans" w:eastAsia="Plus Jakarta Sans"/>
          <w:b/>
          <w:color w:val="1E2A5A"/>
          <w:sz w:val="18"/>
        </w:rPr>
        <w:t>Instrumento:</w:t>
      </w:r>
      <w:r>
        <w:rPr>
          <w:rFonts w:ascii="Plus Jakarta Sans" w:hAnsi="Plus Jakarta Sans" w:eastAsia="Plus Jakarta Sans"/>
          <w:sz w:val="18"/>
        </w:rPr>
        <w:t xml:space="preserve"> SAFE separado de todo contrato comercial. Adaptación, enforceability, escrow/tranches y derechos adicionales: </w:t>
      </w:r>
      <w:r>
        <w:rPr>
          <w:rFonts w:ascii="Consolas" w:hAnsi="Consolas" w:eastAsia="Consolas"/>
          <w:color w:val="0F4C5C"/>
          <w:sz w:val="17"/>
        </w:rPr>
        <w:t>[PENDIENTE abogado]</w:t>
      </w:r>
      <w:r>
        <w:rPr>
          <w:rFonts w:ascii="Plus Jakarta Sans" w:hAnsi="Plus Jakarta Sans" w:eastAsia="Plus Jakarta Sans"/>
          <w:sz w:val="18"/>
        </w:rPr>
        <w:t xml:space="preserve">. La </w:t>
      </w:r>
      <w:r>
        <w:rPr>
          <w:rFonts w:ascii="Plus Jakarta Sans" w:hAnsi="Plus Jakarta Sans" w:eastAsia="Plus Jakarta Sans"/>
          <w:b/>
          <w:color w:val="1E2A5A"/>
          <w:sz w:val="18"/>
        </w:rPr>
        <w:t>PIIA firmada + inventario de activos</w:t>
      </w:r>
      <w:r>
        <w:rPr>
          <w:rFonts w:ascii="Plus Jakarta Sans" w:hAnsi="Plus Jakarta Sans" w:eastAsia="Plus Jakarta Sans"/>
          <w:sz w:val="18"/>
        </w:rPr>
        <w:t xml:space="preserve"> es condición suspensiva del desembolso según </w:t>
      </w:r>
      <w:hyperlink r:id="rId16">
        <w:r>
          <w:rPr>
            <w:color w:val="0F4C5C"/>
            <w:u w:val="single"/>
            <w:rFonts w:ascii="Plus Jakarta Sans" w:hAnsi="Plus Jakarta Sans"/>
          </w:rPr>
          <w:t>ESTRUCTURA_LEGAL_Y_EQUITY.md</w:t>
        </w:r>
      </w:hyperlink>
      <w:r>
        <w:rPr>
          <w:rFonts w:ascii="Plus Jakarta Sans" w:hAnsi="Plus Jakarta Sans" w:eastAsia="Plus Jakarta Sans"/>
          <w:sz w:val="18"/>
        </w:rPr>
        <w:t xml:space="preserve"> §1.5; no se rebaja a una recomendación opcional.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4.3 Gate antes de outreach intensivo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demo de producto 3–5 minutos;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1–2 early adopters con nivel de evidencia explícito (§4.3.1);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P0 de due diligence founder;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data room mínimo coherente;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cifras v4 sin claims de tracción inventados;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lista de candidato y tesis de encaje.</w:t>
      </w:r>
    </w:p>
    <w:p>
      <w:pPr>
        <w:pStyle w:val="Heading3"/>
        <w:keepNext/>
      </w:pPr>
      <w:r>
        <w:rPr>
          <w:rFonts w:ascii="Plus Jakarta Sans" w:hAnsi="Plus Jakarta Sans" w:eastAsia="Plus Jakarta Sans"/>
          <w:sz w:val="23"/>
        </w:rPr>
        <w:t>4.3.1 Escalera de evidencia de mercado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Cómo se declara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E0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Entrevista mom-test documentada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Discovery; no early adopter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E1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LOI o compromiso claro con próxima fecha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Early adopter comprometido, todavía no activo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E2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Contrato firmado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Cliente contratado, no necesariamente activado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E3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Catálogo/usuarios/farmacéutico activos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Farmacia activada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E4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Primera orden real completada/pagada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Uso real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E5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Repetición o primera factura Zonix cobrada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Tracción comercial inicial</w:t>
            </w:r>
          </w:p>
        </w:tc>
      </w:tr>
    </w:tbl>
    <w:p/>
    <w:p>
      <w:r>
        <w:rPr>
          <w:rFonts w:ascii="Plus Jakarta Sans" w:hAnsi="Plus Jakarta Sans" w:eastAsia="Plus Jakarta Sans"/>
          <w:sz w:val="18"/>
        </w:rPr>
        <w:t xml:space="preserve">Para outreach exploratorio a ángeles puede mostrarse E1 con disclosure. Para declarar “producto en mercado” o recontactar fondos que exigen tracción, el gate es </w:t>
      </w:r>
      <w:r>
        <w:rPr>
          <w:rFonts w:ascii="Plus Jakarta Sans" w:hAnsi="Plus Jakarta Sans" w:eastAsia="Plus Jakarta Sans"/>
          <w:b/>
          <w:color w:val="1E2A5A"/>
          <w:sz w:val="18"/>
        </w:rPr>
        <w:t>E3 + señal E4/E5</w:t>
      </w:r>
      <w:r>
        <w:rPr>
          <w:rFonts w:ascii="Plus Jakarta Sans" w:hAnsi="Plus Jakarta Sans" w:eastAsia="Plus Jakarta Sans"/>
          <w:sz w:val="18"/>
        </w:rPr>
        <w:t>, no entrevista ni demo.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4.4 Embudo y definiciones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Evidencia mínima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Candidato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Nombre, tipo, tesis, geografía, ticket y fuente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Cualificado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Encaje con etapa/sector/jurisdicción confirmado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Introducción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Warm intro o contacto autorizado registrado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Respuesta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Respuesta humana explícita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Reunión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Fecha y asistentes confirmados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Data room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Acceso otorgado y documentos enviados registrados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Due diligence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Preguntas/material solicitado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Términos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Propuesta escrita; no compromiso verbal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SAFE firmado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Documento firmado por partes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Condiciones de cierre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PIIA/inventario IP y demás condiciones suspensivas satisfechas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Escrow/tranche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Fondos depositados, pero todavía no necesariamente utilizables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Wire liberado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Caja utilizable conciliada según cierre/tranche aprobado; recién aquí existe T+0</w:t>
            </w:r>
          </w:p>
        </w:tc>
      </w:tr>
    </w:tbl>
    <w:p/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4.5 Métricas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candidatos nuevos y cualificados;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tasa de respuesta por canal;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reuniones realizadas;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avance a data room/DD/términos;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monto indicado como interés, compromiso firmado y wire — </w:t>
      </w:r>
      <w:r>
        <w:rPr>
          <w:rFonts w:ascii="Plus Jakarta Sans" w:hAnsi="Plus Jakarta Sans" w:eastAsia="Plus Jakarta Sans"/>
          <w:b/>
          <w:color w:val="1E2A5A"/>
          <w:sz w:val="18"/>
        </w:rPr>
        <w:t>tres campos separados</w:t>
      </w:r>
      <w:r>
        <w:rPr>
          <w:rFonts w:ascii="Plus Jakarta Sans" w:hAnsi="Plus Jakarta Sans" w:eastAsia="Plus Jakarta Sans"/>
          <w:sz w:val="18"/>
        </w:rPr>
        <w:t>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días por etapa;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razón de rechazo.</w:t>
      </w:r>
    </w:p>
    <w:p>
      <w:r>
        <w:rPr>
          <w:rFonts w:ascii="Plus Jakarta Sans" w:hAnsi="Plus Jakarta Sans" w:eastAsia="Plus Jakarta Sans"/>
          <w:sz w:val="18"/>
        </w:rPr>
        <w:t>No fijar tasas de conversión objetivo hasta medir el primer ciclo.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4.6 Riesgos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decir “recaudado” ante interés verbal;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ofrecer retornos o payback como garantía;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aceptar exclusividad/MFN comercial, datos o veto a cambio de capital;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dar acceso a datos de pacientes;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iniciar Fase 0 antes del wire;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presentar una farmacia/inversor corporativo como validación de mercado sin uso real.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5. Carril B — farmacias cliente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5.1 Resultado buscado</w:t>
      </w:r>
    </w:p>
    <w:p>
      <w:r>
        <w:rPr>
          <w:rFonts w:ascii="Plus Jakarta Sans" w:hAnsi="Plus Jakarta Sans" w:eastAsia="Plus Jakarta Sans"/>
          <w:sz w:val="18"/>
        </w:rPr>
        <w:t>Validar problema, willingness to pay, activación y retención con farmacias independientes/medianas del beachhead.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5.2 Intercambio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Farmacia aporta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Zonix aporta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Catálogo, farmacéutico colegiado, operación, feedback y pago contractual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Plataforma, onboarding, visibilidad, flujo Rx, soporte y coordinación logística</w:t>
            </w:r>
          </w:p>
        </w:tc>
      </w:tr>
    </w:tbl>
    <w:p/>
    <w:p>
      <w:r>
        <w:rPr>
          <w:rFonts w:ascii="Plus Jakarta Sans" w:hAnsi="Plus Jakarta Sans" w:eastAsia="Plus Jakarta Sans"/>
          <w:b/>
          <w:color w:val="1E2A5A"/>
          <w:sz w:val="18"/>
        </w:rPr>
        <w:t>Instrumento:</w:t>
      </w:r>
      <w:r>
        <w:rPr>
          <w:rFonts w:ascii="Plus Jakarta Sans" w:hAnsi="Plus Jakarta Sans" w:eastAsia="Plus Jakarta Sans"/>
          <w:sz w:val="18"/>
        </w:rPr>
        <w:t xml:space="preserve"> carta de intención para discovery/planificación; después contrato marco anual con cobro mensual conforme al canon.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5.3 Programa “Farmacias Fundadoras”</w:t>
      </w:r>
    </w:p>
    <w:p>
      <w:r>
        <w:rPr>
          <w:rFonts w:ascii="Plus Jakarta Sans" w:hAnsi="Plus Jakarta Sans" w:eastAsia="Plus Jakarta Sans"/>
          <w:sz w:val="18"/>
        </w:rPr>
        <w:t xml:space="preserve">Es un </w:t>
      </w:r>
      <w:r>
        <w:rPr>
          <w:rFonts w:ascii="Plus Jakarta Sans" w:hAnsi="Plus Jakarta Sans" w:eastAsia="Plus Jakarta Sans"/>
          <w:b/>
          <w:color w:val="1E2A5A"/>
          <w:sz w:val="18"/>
        </w:rPr>
        <w:t>nombre de cohorte piloto</w:t>
      </w:r>
      <w:r>
        <w:rPr>
          <w:rFonts w:ascii="Plus Jakarta Sans" w:hAnsi="Plus Jakarta Sans" w:eastAsia="Plus Jakarta Sans"/>
          <w:sz w:val="18"/>
        </w:rPr>
        <w:t>, no una inversión.</w:t>
      </w:r>
    </w:p>
    <w:p>
      <w:r>
        <w:rPr>
          <w:rFonts w:ascii="Plus Jakarta Sans" w:hAnsi="Plus Jakarta Sans" w:eastAsia="Plus Jakarta Sans"/>
          <w:sz w:val="18"/>
        </w:rPr>
        <w:t>Beneficios inicialmente permitidos: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prioridad de agenda para onboarding;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capacitación directa;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canal de feedback con founder/equipo;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participación en sesiones de co-diseño;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medición y reporte de resultados del piloto;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caso de estudio solo con consentimiento.</w:t>
      </w:r>
    </w:p>
    <w:p>
      <w:r>
        <w:rPr>
          <w:rFonts w:ascii="Plus Jakarta Sans" w:hAnsi="Plus Jakarta Sans" w:eastAsia="Plus Jakarta Sans"/>
          <w:sz w:val="18"/>
        </w:rPr>
        <w:t>No prometer como disponible: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posicionamiento preferente en búsqueda;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analytics que no existan en producto;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exclusividad territorial;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lock indefinido de precio;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retorno, dividendos, equity o participación en ganancias;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analogías de inversión (Flyfish, TIR, “recuperas lo que pagaste”).</w:t>
      </w:r>
    </w:p>
    <w:p>
      <w:r>
        <w:rPr>
          <w:rFonts w:ascii="Plus Jakarta Sans" w:hAnsi="Plus Jakarta Sans" w:eastAsia="Plus Jakarta Sans"/>
          <w:sz w:val="18"/>
        </w:rPr>
        <w:t xml:space="preserve">Analogía interna permitida: membresía de </w:t>
      </w:r>
      <w:r>
        <w:rPr>
          <w:rFonts w:ascii="Plus Jakarta Sans" w:hAnsi="Plus Jakarta Sans" w:eastAsia="Plus Jakarta Sans"/>
          <w:b/>
          <w:color w:val="1E2A5A"/>
          <w:sz w:val="18"/>
        </w:rPr>
        <w:t>consumo</w:t>
      </w:r>
      <w:r>
        <w:rPr>
          <w:rFonts w:ascii="Plus Jakarta Sans" w:hAnsi="Plus Jakarta Sans" w:eastAsia="Plus Jakarta Sans"/>
          <w:sz w:val="18"/>
        </w:rPr>
        <w:t xml:space="preserve"> (Costco / Smoke &amp; Mirrors). El límite de 10 fundadoras es capacidad de onboarding y soporte, no escasez de marketing.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5.4 Embudo</w:t>
      </w:r>
    </w:p>
    <w:p>
      <w:r>
        <w:rPr>
          <w:rFonts w:ascii="Plus Jakarta Sans" w:hAnsi="Plus Jakarta Sans" w:eastAsia="Plus Jakarta Sans"/>
          <w:sz w:val="18"/>
        </w:rPr>
        <w:t xml:space="preserve">Usar el funnel y sus referencias en </w:t>
      </w:r>
      <w:hyperlink r:id="rId17">
        <w:r>
          <w:rPr>
            <w:color w:val="0F4C5C"/>
            <w:u w:val="single"/>
            <w:rFonts w:ascii="Plus Jakarta Sans" w:hAnsi="Plus Jakarta Sans"/>
          </w:rPr>
          <w:t>PROPUESTA_VALOR_CLIENTE_B2B.md</w:t>
        </w:r>
      </w:hyperlink>
      <w:r>
        <w:rPr>
          <w:rFonts w:ascii="Plus Jakarta Sans" w:hAnsi="Plus Jakarta Sans" w:eastAsia="Plus Jakarta Sans"/>
          <w:sz w:val="18"/>
        </w:rPr>
        <w:t xml:space="preserve"> §6, pero separar </w:t>
      </w:r>
      <w:r>
        <w:rPr>
          <w:rFonts w:ascii="Plus Jakarta Sans" w:hAnsi="Plus Jakarta Sans" w:eastAsia="Plus Jakarta Sans"/>
          <w:b/>
          <w:color w:val="1E2A5A"/>
          <w:sz w:val="18"/>
        </w:rPr>
        <w:t>benchmark orientativo</w:t>
      </w:r>
      <w:r>
        <w:rPr>
          <w:rFonts w:ascii="Plus Jakarta Sans" w:hAnsi="Plus Jakarta Sans" w:eastAsia="Plus Jakarta Sans"/>
          <w:sz w:val="18"/>
        </w:rPr>
        <w:t xml:space="preserve"> de dato real: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prospecto identificado;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entrevista mom-test;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demo;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reacción documentada a pricing;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carta de intención;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contrato;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onboarding iniciado;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catálogo activo;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primera orden completada;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primera factura pagada;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retención/renovación.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5.5 Métricas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farmacias por etapa;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días visita→LOI→contrato→activación;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objeciones y razón de pérdida;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activación de catálogo;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primera orden;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GMV completado;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ingreso Zonix;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soporte por farmacia;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churn/retención;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adopción de waiver y conversión a pago.</w:t>
      </w:r>
    </w:p>
    <w:p>
      <w:r>
        <w:rPr>
          <w:rFonts w:ascii="Plus Jakarta Sans" w:hAnsi="Plus Jakarta Sans" w:eastAsia="Plus Jakarta Sans"/>
          <w:sz w:val="18"/>
        </w:rPr>
        <w:t>Tráfico, firmas y catálogo cargado no sustituyen “farmacia activa + pedido + pago”.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6. Carril C — socios estratégicos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6.1 Prioridad piloto</w:t>
      </w:r>
    </w:p>
    <w:p>
      <w:r>
        <w:rPr>
          <w:rFonts w:ascii="Plus Jakarta Sans" w:hAnsi="Plus Jakarta Sans" w:eastAsia="Plus Jakarta Sans"/>
          <w:sz w:val="18"/>
        </w:rPr>
        <w:t xml:space="preserve">El partner estratégico operativo prioritario es </w:t>
      </w:r>
      <w:r>
        <w:rPr>
          <w:rFonts w:ascii="Consolas" w:hAnsi="Consolas" w:eastAsia="Consolas"/>
          <w:color w:val="0F4C5C"/>
          <w:sz w:val="17"/>
        </w:rPr>
        <w:t>delivery_company</w:t>
      </w:r>
      <w:r>
        <w:rPr>
          <w:rFonts w:ascii="Plus Jakarta Sans" w:hAnsi="Plus Jakarta Sans" w:eastAsia="Plus Jakarta Sans"/>
          <w:sz w:val="18"/>
        </w:rPr>
        <w:t xml:space="preserve">. Una farmacia ancla sigue siendo </w:t>
      </w:r>
      <w:r>
        <w:rPr>
          <w:rFonts w:ascii="Plus Jakarta Sans" w:hAnsi="Plus Jakarta Sans" w:eastAsia="Plus Jakarta Sans"/>
          <w:b/>
          <w:color w:val="1E2A5A"/>
          <w:sz w:val="18"/>
        </w:rPr>
        <w:t>cliente del carril B</w:t>
      </w:r>
      <w:r>
        <w:rPr>
          <w:rFonts w:ascii="Plus Jakarta Sans" w:hAnsi="Plus Jakarta Sans" w:eastAsia="Plus Jakarta Sans"/>
          <w:sz w:val="18"/>
        </w:rPr>
        <w:t>, aunque aporte referencias o co-diseño. Droguerías/distribuidores permanecen en roadmap hasta validar el piloto.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6.2 Intercambio delivery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Partner aporta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Zonix aporta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Cobertura, agentes, SLA, seguros/evidencia y ejecución de última milla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Flujo de órdenes, asignación/tracking, dashboard y facturación contractual</w:t>
            </w:r>
          </w:p>
        </w:tc>
      </w:tr>
    </w:tbl>
    <w:p/>
    <w:p>
      <w:r>
        <w:rPr>
          <w:rFonts w:ascii="Plus Jakarta Sans" w:hAnsi="Plus Jakarta Sans" w:eastAsia="Plus Jakarta Sans"/>
          <w:b/>
          <w:color w:val="1E2A5A"/>
          <w:sz w:val="18"/>
        </w:rPr>
        <w:t>Instrumentos provisionales:</w:t>
      </w:r>
      <w:r>
        <w:rPr>
          <w:rFonts w:ascii="Plus Jakarta Sans" w:hAnsi="Plus Jakarta Sans" w:eastAsia="Plus Jakarta Sans"/>
          <w:sz w:val="18"/>
        </w:rPr>
        <w:t xml:space="preserve"> LOI → contrato comercial no exclusivo + SLA/KYC/seguros según aplique. “Concesión” y DPA no se presuponen: dependen del mapa de responsabilidades, datos tratados y revisión jurídica VE </w:t>
      </w:r>
      <w:r>
        <w:rPr>
          <w:rFonts w:ascii="Consolas" w:hAnsi="Consolas" w:eastAsia="Consolas"/>
          <w:color w:val="0F4C5C"/>
          <w:sz w:val="17"/>
        </w:rPr>
        <w:t>[PENDIENTE abogado]</w:t>
      </w:r>
      <w:r>
        <w:rPr>
          <w:rFonts w:ascii="Plus Jakarta Sans" w:hAnsi="Plus Jakarta Sans" w:eastAsia="Plus Jakarta Sans"/>
          <w:sz w:val="18"/>
        </w:rPr>
        <w:t>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6.3 Embudo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candidato;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reunión;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validación de cobertura/capacidad;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LOI;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KYC y documentación;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prueba operativa;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contrato;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agentes activos;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operación medida.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6.4 Métricas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empresas y agentes por etapa;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cobertura;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entregas completadas;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tiempo e incidentes;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cumplimiento SLA;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concentración por partner;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costo/fee real;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NPS post-entrega.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6.5 Guardrails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no exclusividad en piloto;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partner #2 en pipeline y pickup como fallback;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no acceso libre a datos de salud;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inversión del partner, si existe, va por carril A con instrumento separado;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no otorgar equity por una LOI o promesa de volumen.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7. Carril D — socios operativos, cofundadores y advisors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7.1 Resultado buscado</w:t>
      </w:r>
    </w:p>
    <w:p>
      <w:r>
        <w:rPr>
          <w:rFonts w:ascii="Plus Jakarta Sans" w:hAnsi="Plus Jakarta Sans" w:eastAsia="Plus Jakarta Sans"/>
          <w:sz w:val="18"/>
        </w:rPr>
        <w:t>Reducir dependencia del founder mediante capacidad ejecutora real, sin regalar equity por títulos o contactos prometidos.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7.2 Clasificación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Relación inicial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Co-CEO / CEO operativo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Rol operativo bajo contrato; no cofundador automático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Equipo Sales/CS/Dev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Contrato y compensación del presupuesto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Advisor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Entregables/introducciones verificables; sin equity en piloto por defecto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Cofundador futuro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 xml:space="preserve">Acuerdo founder, dedicación, PI, vesting y cap table </w:t>
            </w:r>
            <w:r>
              <w:rPr>
                <w:rFonts w:ascii="Consolas" w:hAnsi="Consolas" w:eastAsia="Consolas"/>
                <w:color w:val="0F4C5C"/>
                <w:sz w:val="14"/>
              </w:rPr>
              <w:t>[PENDIENTE abogado]</w:t>
            </w:r>
          </w:p>
        </w:tc>
      </w:tr>
    </w:tbl>
    <w:p/>
    <w:p>
      <w:r>
        <w:rPr>
          <w:rFonts w:ascii="Plus Jakarta Sans" w:hAnsi="Plus Jakarta Sans" w:eastAsia="Plus Jakarta Sans"/>
          <w:sz w:val="18"/>
        </w:rPr>
        <w:t>Cada relación usa su propio instrumento: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personal/contractor: contrato laboral o de servicios según realidad de subordinación;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advisor: advisor agreement con entregables, confidencialidad, PI y acceso acotado;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cofundador: founder agreement, dedicación, gobierno, PI, vesting y salida.</w:t>
      </w:r>
    </w:p>
    <w:p>
      <w:r>
        <w:rPr>
          <w:rFonts w:ascii="Plus Jakarta Sans" w:hAnsi="Plus Jakarta Sans" w:eastAsia="Plus Jakarta Sans"/>
          <w:sz w:val="18"/>
        </w:rPr>
        <w:t>Una “prueba” no autoriza trabajo gratuito ni acceso informal a datos; debe definir alcance, remuneración, PI y confidencialidad.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7.3 Embudo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necesidad/scorecard;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candidato;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entrevista;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referencias;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prueba acotada o entregable;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contrato;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hitos 30/60/90;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revisión de continuidad.</w:t>
      </w:r>
    </w:p>
    <w:p>
      <w:r>
        <w:rPr>
          <w:rFonts w:ascii="Plus Jakarta Sans" w:hAnsi="Plus Jakarta Sans" w:eastAsia="Plus Jakarta Sans"/>
          <w:sz w:val="18"/>
        </w:rPr>
        <w:t>Para advisors, medir introducciones aceptadas, reuniones obtenidas y resultado; “tener contactos” no es un entregable.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7.4 Equity</w:t>
      </w:r>
    </w:p>
    <w:p>
      <w:r>
        <w:rPr>
          <w:rFonts w:ascii="Plus Jakarta Sans" w:hAnsi="Plus Jakarta Sans" w:eastAsia="Plus Jakarta Sans"/>
          <w:sz w:val="18"/>
        </w:rPr>
        <w:t xml:space="preserve">El canon de </w:t>
      </w:r>
      <w:hyperlink r:id="rId16">
        <w:r>
          <w:rPr>
            <w:color w:val="0F4C5C"/>
            <w:u w:val="single"/>
            <w:rFonts w:ascii="Plus Jakarta Sans" w:hAnsi="Plus Jakarta Sans"/>
          </w:rPr>
          <w:t>ESTRUCTURA_LEGAL_Y_EQUITY.md</w:t>
        </w:r>
      </w:hyperlink>
      <w:r>
        <w:rPr>
          <w:rFonts w:ascii="Plus Jakarta Sans" w:hAnsi="Plus Jakarta Sans" w:eastAsia="Plus Jakarta Sans"/>
          <w:sz w:val="18"/>
        </w:rPr>
        <w:t xml:space="preserve"> indica </w:t>
      </w:r>
      <w:r>
        <w:rPr>
          <w:rFonts w:ascii="Plus Jakarta Sans" w:hAnsi="Plus Jakarta Sans" w:eastAsia="Plus Jakarta Sans"/>
          <w:b/>
          <w:color w:val="1E2A5A"/>
          <w:sz w:val="18"/>
        </w:rPr>
        <w:t>sin options en piloto</w:t>
      </w:r>
      <w:r>
        <w:rPr>
          <w:rFonts w:ascii="Plus Jakarta Sans" w:hAnsi="Plus Jakarta Sans" w:eastAsia="Plus Jakarta Sans"/>
          <w:sz w:val="18"/>
        </w:rPr>
        <w:t xml:space="preserve"> para freelances. Cualquier excepción debe: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demostrar necesidad que no puede cubrirse con contrato;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definir dedicación y propiedad intelectual;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usar vesting/cliff;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recalcular cap table fully diluted;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evitar grants por anticipado;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obtener revisión legal y aprobación founder.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8. Calendario integrado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8.1 Dos relojes que no se mezclan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42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lus Jakarta Sans" w:hAnsi="Plus Jakarta Sans" w:eastAsia="Plus Jakarta Sans"/>
          <w:b/>
          <w:i/>
          <w:color w:val="0F4C5C"/>
          <w:sz w:val="16"/>
        </w:rPr>
        <w:t>Dos relojes: evidencia pre-wire y piloto financiado</w:t>
      </w:r>
    </w:p>
    <w:p>
      <w:pPr>
        <w:pStyle w:val="ListBullet"/>
      </w:pPr>
      <w:r>
        <w:rPr>
          <w:rFonts w:ascii="Plus Jakarta Sans" w:hAnsi="Plus Jakarta Sans" w:eastAsia="Plus Jakarta Sans"/>
          <w:b/>
          <w:color w:val="1E2A5A"/>
          <w:sz w:val="18"/>
        </w:rPr>
        <w:t>Reloj pre-wire:</w:t>
      </w:r>
      <w:r>
        <w:rPr>
          <w:rFonts w:ascii="Plus Jakarta Sans" w:hAnsi="Plus Jakarta Sans" w:eastAsia="Plus Jakarta Sans"/>
          <w:sz w:val="18"/>
        </w:rPr>
        <w:t xml:space="preserve"> demo, mom-test, 1–2 evidencias para raise y hasta 10 pruebas controladas de app. Prueba no significa waiver ni WTP.</w:t>
      </w:r>
    </w:p>
    <w:p>
      <w:pPr>
        <w:pStyle w:val="ListBullet"/>
      </w:pPr>
      <w:r>
        <w:rPr>
          <w:rFonts w:ascii="Plus Jakarta Sans" w:hAnsi="Plus Jakarta Sans" w:eastAsia="Plus Jakarta Sans"/>
          <w:b/>
          <w:color w:val="1E2A5A"/>
          <w:sz w:val="18"/>
        </w:rPr>
        <w:t>Reloj financiado:</w:t>
      </w:r>
      <w:r>
        <w:rPr>
          <w:rFonts w:ascii="Plus Jakarta Sans" w:hAnsi="Plus Jakarta Sans" w:eastAsia="Plus Jakarta Sans"/>
          <w:sz w:val="18"/>
        </w:rPr>
        <w:t xml:space="preserve"> después de T+0, Fase 0 construye oferta y operación hasta ~28 activas / ~35 firmadas al Day-D conforme a </w:t>
      </w:r>
      <w:hyperlink r:id="rId19">
        <w:r>
          <w:rPr>
            <w:color w:val="0F4C5C"/>
            <w:u w:val="single"/>
            <w:rFonts w:ascii="Plus Jakarta Sans" w:hAnsi="Plus Jakarta Sans"/>
          </w:rPr>
          <w:t>PLAN_LANZAMIENTO_COMERCIAL.md</w:t>
        </w:r>
      </w:hyperlink>
      <w:r>
        <w:rPr>
          <w:rFonts w:ascii="Plus Jakarta Sans" w:hAnsi="Plus Jakarta Sans" w:eastAsia="Plus Jakarta Sans"/>
          <w:sz w:val="18"/>
        </w:rPr>
        <w:t>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Beta puede comenzar tras uso real, pero la cohorte S1 de máximo 10 no se convierte en tope comercial permanente.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Antes del wire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cerrar demo y evidencia de early adopters;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completar P0 de due diligence;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construir pipeline inversor;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hacer discovery farmacia sin presentar hipótesis como tracción;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identificar partner delivery;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preparar scorecards de roles.</w:t>
      </w:r>
    </w:p>
    <w:p>
      <w:r>
        <w:rPr>
          <w:rFonts w:ascii="Plus Jakarta Sans" w:hAnsi="Plus Jakarta Sans" w:eastAsia="Plus Jakarta Sans"/>
          <w:sz w:val="18"/>
        </w:rPr>
        <w:t>No contratar el equipo completo ni ejecutar gasto Fase 0 como si el ask estuviera en caja.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T+0</w:t>
      </w:r>
    </w:p>
    <w:p>
      <w:r>
        <w:rPr>
          <w:rFonts w:ascii="Plus Jakarta Sans" w:hAnsi="Plus Jakarta Sans" w:eastAsia="Plus Jakarta Sans"/>
          <w:sz w:val="18"/>
        </w:rPr>
        <w:t xml:space="preserve">Firma del SAFE o depósito bloqueado en escrow </w:t>
      </w:r>
      <w:r>
        <w:rPr>
          <w:rFonts w:ascii="Plus Jakarta Sans" w:hAnsi="Plus Jakarta Sans" w:eastAsia="Plus Jakarta Sans"/>
          <w:b/>
          <w:color w:val="1E2A5A"/>
          <w:sz w:val="18"/>
        </w:rPr>
        <w:t>no</w:t>
      </w:r>
      <w:r>
        <w:rPr>
          <w:rFonts w:ascii="Plus Jakarta Sans" w:hAnsi="Plus Jakarta Sans" w:eastAsia="Plus Jakarta Sans"/>
          <w:sz w:val="18"/>
        </w:rPr>
        <w:t xml:space="preserve"> activan por sí solos T+0. T+0 existe cuando se cumplen las condiciones suspensivas —incluida PIIA— y hay caja utilizable liberada para el tramo aprobado. Un cierre parcial solo activa Fase 0 si el founder aprueba una reproyección que demuestre suficiencia del tramo; no se ejecuta el presupuesto completo con caja incompleta.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T+0–T+30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carril A: confirmación, reporting de 30 días;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carril B: pipeline e interés cualificado;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carril C: shortlist y negociación partner;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carril D: selección/onboarding equipo;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legal/empresa/HQ/tech según Fase 0.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T+30–T+60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carril B: LOI, contratos, catálogo y capacitación;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carril C: LOI/contrato, KYC y prueba;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carril D: customer development;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producto: smoke y preparación Day-D.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T+60–T+90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activar farmacias y catálogo;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probar delivery;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cerrar gates de pricing, operación y compliance;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reportar evidencia, no vanity metrics.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M1+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medir órdenes, GMV, ingreso, margen, soporte y retención;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convertir waiver a pago;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evaluar —no lanzar automáticamente— el escenario de prepago anual;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escalar demanda paciente solo con oferta operativa.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9. Escenarios de financiación por clientes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S0 — Base vigente</w:t>
      </w:r>
    </w:p>
    <w:p>
      <w:r>
        <w:rPr>
          <w:rFonts w:ascii="Plus Jakarta Sans" w:hAnsi="Plus Jakarta Sans" w:eastAsia="Plus Jakarta Sans"/>
          <w:sz w:val="18"/>
        </w:rPr>
        <w:t>Cobro mensual 45/60/70 + 8/7/5% GMV. Es el único escenario del pitch central.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S1 — Cohorte fundadora con waiver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máximo 10 farmacias;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cuota fija USD 0 en meses 1–2;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GMV medido;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salida y conversión a contrato conforme al documento B2B;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componente </w:t>
      </w:r>
      <w:r>
        <w:rPr>
          <w:rFonts w:ascii="Consolas" w:hAnsi="Consolas" w:eastAsia="Consolas"/>
          <w:color w:val="0F4C5C"/>
          <w:sz w:val="17"/>
        </w:rPr>
        <w:t>%GMV</w:t>
      </w:r>
      <w:r>
        <w:rPr>
          <w:rFonts w:ascii="Plus Jakarta Sans" w:hAnsi="Plus Jakarta Sans" w:eastAsia="Plus Jakarta Sans"/>
          <w:sz w:val="18"/>
        </w:rPr>
        <w:t xml:space="preserve"> durante waiver: </w:t>
      </w:r>
      <w:r>
        <w:rPr>
          <w:rFonts w:ascii="Consolas" w:hAnsi="Consolas" w:eastAsia="Consolas"/>
          <w:color w:val="0F4C5C"/>
          <w:sz w:val="17"/>
        </w:rPr>
        <w:t>CAP-P01 [PENDIENTE]</w:t>
      </w:r>
      <w:r>
        <w:rPr>
          <w:rFonts w:ascii="Plus Jakarta Sans" w:hAnsi="Plus Jakarta Sans" w:eastAsia="Plus Jakarta Sans"/>
          <w:sz w:val="18"/>
        </w:rPr>
        <w:t>.</w:t>
      </w:r>
    </w:p>
    <w:p>
      <w:r>
        <w:rPr>
          <w:rFonts w:ascii="Plus Jakarta Sans" w:hAnsi="Plus Jakarta Sans" w:eastAsia="Plus Jakarta Sans"/>
          <w:sz w:val="18"/>
        </w:rPr>
        <w:t>No se presenta como capital levantado. Es promoción/acquisición de cliente.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S2 — Prepago anual por servicio</w:t>
      </w:r>
    </w:p>
    <w:p>
      <w:r>
        <w:rPr>
          <w:rFonts w:ascii="Plus Jakarta Sans" w:hAnsi="Plus Jakarta Sans" w:eastAsia="Plus Jakarta Sans"/>
          <w:sz w:val="18"/>
        </w:rPr>
        <w:t xml:space="preserve">Estado: </w:t>
      </w:r>
      <w:r>
        <w:rPr>
          <w:rFonts w:ascii="Plus Jakarta Sans" w:hAnsi="Plus Jakarta Sans" w:eastAsia="Plus Jakarta Sans"/>
          <w:b/>
          <w:color w:val="1E2A5A"/>
          <w:sz w:val="18"/>
        </w:rPr>
        <w:t>`[PROPUESTA — NO APROBADA]`</w:t>
      </w:r>
      <w:r>
        <w:rPr>
          <w:rFonts w:ascii="Plus Jakarta Sans" w:hAnsi="Plus Jakarta Sans" w:eastAsia="Plus Jakarta Sans"/>
          <w:sz w:val="18"/>
        </w:rPr>
        <w:t>.</w:t>
      </w:r>
    </w:p>
    <w:p>
      <w:r>
        <w:rPr>
          <w:rFonts w:ascii="Plus Jakarta Sans" w:hAnsi="Plus Jakarta Sans" w:eastAsia="Plus Jakarta Sans"/>
          <w:sz w:val="18"/>
        </w:rPr>
        <w:t>No sustituye el pricing ni entra al modelo hasta superar gates.</w:t>
      </w:r>
    </w:p>
    <w:p>
      <w:r>
        <w:rPr>
          <w:rFonts w:ascii="Plus Jakarta Sans" w:hAnsi="Plus Jakarta Sans" w:eastAsia="Plus Jakarta Sans"/>
          <w:sz w:val="18"/>
        </w:rPr>
        <w:t xml:space="preserve">Si algún día se aprueba, el precio anual se </w:t>
      </w:r>
      <w:r>
        <w:rPr>
          <w:rFonts w:ascii="Plus Jakarta Sans" w:hAnsi="Plus Jakarta Sans" w:eastAsia="Plus Jakarta Sans"/>
          <w:b/>
          <w:color w:val="1E2A5A"/>
          <w:sz w:val="18"/>
        </w:rPr>
        <w:t>asigna</w:t>
      </w:r>
      <w:r>
        <w:rPr>
          <w:rFonts w:ascii="Plus Jakarta Sans" w:hAnsi="Plus Jakarta Sans" w:eastAsia="Plus Jakarta Sans"/>
          <w:sz w:val="18"/>
        </w:rPr>
        <w:t xml:space="preserve"> a prestaciones distintas (onboarding, panel, soporte), no a un blob único. No entra descuento 10–15% ni reserva fija 30% hasta </w:t>
      </w:r>
      <w:r>
        <w:rPr>
          <w:rFonts w:ascii="Consolas" w:hAnsi="Consolas" w:eastAsia="Consolas"/>
          <w:color w:val="0F4C5C"/>
          <w:sz w:val="17"/>
        </w:rPr>
        <w:t>CAP-P03</w:t>
      </w:r>
      <w:r>
        <w:rPr>
          <w:rFonts w:ascii="Plus Jakarta Sans" w:hAnsi="Plus Jakarta Sans" w:eastAsia="Plus Jakarta Sans"/>
          <w:sz w:val="18"/>
        </w:rPr>
        <w:t xml:space="preserve"> / </w:t>
      </w:r>
      <w:r>
        <w:rPr>
          <w:rFonts w:ascii="Consolas" w:hAnsi="Consolas" w:eastAsia="Consolas"/>
          <w:color w:val="0F4C5C"/>
          <w:sz w:val="17"/>
        </w:rPr>
        <w:t>CAP-P04</w:t>
      </w:r>
      <w:r>
        <w:rPr>
          <w:rFonts w:ascii="Plus Jakarta Sans" w:hAnsi="Plus Jakarta Sans" w:eastAsia="Plus Jakarta Sans"/>
          <w:sz w:val="18"/>
        </w:rPr>
        <w:t>. El prepago no diluye el cap SAFE de USD 600.000.</w:t>
      </w:r>
    </w:p>
    <w:p>
      <w:r>
        <w:rPr>
          <w:rFonts w:ascii="Plus Jakarta Sans" w:hAnsi="Plus Jakarta Sans" w:eastAsia="Plus Jakarta Sans"/>
          <w:sz w:val="18"/>
        </w:rPr>
        <w:t>Variables:</w:t>
      </w:r>
    </w:p>
    <w:p>
      <w:pPr>
        <w:shd w:fill="142033"/>
      </w:pPr>
      <w:r>
        <w:rPr>
          <w:rFonts w:ascii="Consolas" w:hAnsi="Consolas" w:eastAsia="Consolas"/>
          <w:color w:val="FFFFFF"/>
          <w:sz w:val="16"/>
        </w:rPr>
        <w:t>N                  = farmacias elegibles (canon: máximo 10, no 15)</w:t>
        <w:br/>
        <w:t>P                  = precio anual validado</w:t>
        <w:br/>
        <w:t>cash_collected     = N × P</w:t>
        <w:br/>
        <w:t>contract_liability = importe asignado a servicios no satisfechos</w:t>
        <w:br/>
        <w:t>monthly_revenue    = importe reconocido conforme se presta el servicio</w:t>
        <w:br/>
        <w:t>fulfillment_cost   = soporte + onboarding + infraestructura + beneficios</w:t>
        <w:br/>
        <w:t>reserve_required   = refunds esperados + fulfillment pendiente + contingencia</w:t>
        <w:br/>
        <w:t>cash_usable        = cash_collected − reserve_required − impuestos aplicables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9.1 Gates antes de modelar precio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≥5 entrevistas mom-test documentadas;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≥3 reacciones de pricing documentadas;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contrato mensual usado en operación real;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al menos 30 días de utilización/GMV/soporte para la cohorte candidata;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al menos un ciclo </w:t>
      </w:r>
      <w:r>
        <w:rPr>
          <w:rFonts w:ascii="Plus Jakarta Sans" w:hAnsi="Plus Jakarta Sans" w:eastAsia="Plus Jakarta Sans"/>
          <w:b/>
          <w:color w:val="1E2A5A"/>
          <w:sz w:val="18"/>
        </w:rPr>
        <w:t>post-waiver</w:t>
      </w:r>
      <w:r>
        <w:rPr>
          <w:rFonts w:ascii="Plus Jakarta Sans" w:hAnsi="Plus Jakarta Sans" w:eastAsia="Plus Jakarta Sans"/>
          <w:sz w:val="18"/>
        </w:rPr>
        <w:t xml:space="preserve"> facturado y cobrado; uso gratuito por sí solo no prueba WTP;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margen de contribución observado y capacidad de cumplimiento;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definición exacta de prestaciones y capacidad;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política de cancelación/refund;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análisis contador de reconocimiento e impuestos;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revisión legal de contrato/publicidad;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reproyección P&amp;L/caja aprobada por founder.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9.2 Stress mínimo</w:t>
      </w:r>
    </w:p>
    <w:p>
      <w:r>
        <w:rPr>
          <w:rFonts w:ascii="Plus Jakarta Sans" w:hAnsi="Plus Jakarta Sans" w:eastAsia="Plus Jakarta Sans"/>
          <w:sz w:val="18"/>
        </w:rPr>
        <w:t>Modelar sin llamar P10/P50/P90 hasta tener datos: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adopción;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renovación;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cancelación/refund;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costo de soporte;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costo de onboarding;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descuentos/precio;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utilización;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churn;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GMV;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retraso de prestación;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concentración de caja.</w:t>
      </w:r>
    </w:p>
    <w:p>
      <w:r>
        <w:rPr>
          <w:rFonts w:ascii="Plus Jakarta Sans" w:hAnsi="Plus Jakarta Sans" w:eastAsia="Plus Jakarta Sans"/>
          <w:sz w:val="18"/>
        </w:rPr>
        <w:t>Salida obligatoria por escenario: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caja cobrada;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pasivo/obligación pendiente;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reserva;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revenue reconocido;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margen de contribución;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cash usable;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impacto en runway;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riesgo contractual;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decisión </w:t>
      </w:r>
      <w:r>
        <w:rPr>
          <w:rFonts w:ascii="Consolas" w:hAnsi="Consolas" w:eastAsia="Consolas"/>
          <w:color w:val="0F4C5C"/>
          <w:sz w:val="17"/>
        </w:rPr>
        <w:t>GO / NO-GO / MÁS DATOS</w:t>
      </w:r>
      <w:r>
        <w:rPr>
          <w:rFonts w:ascii="Plus Jakarta Sans" w:hAnsi="Plus Jakarta Sans" w:eastAsia="Plus Jakarta Sans"/>
          <w:sz w:val="18"/>
        </w:rPr>
        <w:t>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9.3 Prohibiciones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profit share;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retorno fijo o variable para cliente;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“recuperas la cuota”;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vender el prepago como inversión;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usar dinero de pacientes;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reconocer todo el prepago como revenue del mes;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lanzar sin reserva/refund/capacidad.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10. Planes comparables y decisión recomendada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10.1 Plan Alfa — prueba de producto pre-wire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Encaje:</w:t>
      </w:r>
      <w:r>
        <w:rPr>
          <w:rFonts w:ascii="Plus Jakarta Sans" w:hAnsi="Plus Jakarta Sans" w:eastAsia="Plus Jakarta Sans"/>
          <w:sz w:val="18"/>
        </w:rPr>
        <w:t xml:space="preserve"> fases 1–2 de Kleo + membresía de consumo del caso Café + las 10 farmacias como </w:t>
      </w:r>
      <w:r>
        <w:rPr>
          <w:rFonts w:ascii="Plus Jakarta Sans" w:hAnsi="Plus Jakarta Sans" w:eastAsia="Plus Jakarta Sans"/>
          <w:b/>
          <w:color w:val="1E2A5A"/>
          <w:sz w:val="18"/>
        </w:rPr>
        <w:t>prueba de app</w:t>
      </w:r>
      <w:r>
        <w:rPr>
          <w:rFonts w:ascii="Plus Jakarta Sans" w:hAnsi="Plus Jakarta Sans" w:eastAsia="Plus Jakarta Sans"/>
          <w:sz w:val="18"/>
        </w:rPr>
        <w:t>, no como contrato ni waiver.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Pasos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Ejecutar ≥5 mom-test reales antes de publicar contenido de «problemas de farmacia».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Usar una CTA inbound: «evaluación / prueba de la app», con formulario fuera de Flutter/Laravel.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Cualificar decisor, sede Valencia, catálogo y farmacéutico antes de contar un lead.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Permitir que hasta 10 farmacias prueben catálogo, flujo Rx y pedido controlado.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Registrar incidencias por farmacia y no ampliar mientras se repitan fallos críticos.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Convertir a Beta solo las que usen de verdad; probar no demuestra WTP.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Usar evidencia E3–E5 en carril A; no usar un formulario público de ronda.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 xml:space="preserve">Probar un </w:t>
      </w:r>
      <w:r>
        <w:rPr>
          <w:rFonts w:ascii="Consolas" w:hAnsi="Consolas" w:eastAsia="Consolas"/>
          <w:color w:val="0F4C5C"/>
          <w:sz w:val="17"/>
        </w:rPr>
        <w:t>delivery_company</w:t>
      </w:r>
      <w:r>
        <w:rPr>
          <w:rFonts w:ascii="Plus Jakarta Sans" w:hAnsi="Plus Jakarta Sans" w:eastAsia="Plus Jakarta Sans"/>
          <w:sz w:val="18"/>
        </w:rPr>
        <w:t xml:space="preserve"> con SLA no exclusivo.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Criterios de parada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formulario atrae pacientes/curiosos, no decisores B2B;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abandono del formulario exige simplificarlo;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contenido genera atención pero cero interés cualificado;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los mismos fallos de onboarding se repiten en varias farmacias;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no existe OK explícito del founder para outreach outbound;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producto todavía no puede incorporar una farmacia con seguridad.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Código:</w:t>
      </w:r>
      <w:r>
        <w:rPr>
          <w:rFonts w:ascii="Plus Jakarta Sans" w:hAnsi="Plus Jakarta Sans" w:eastAsia="Plus Jakarta Sans"/>
          <w:sz w:val="18"/>
        </w:rPr>
        <w:t xml:space="preserve"> ninguno. </w:t>
      </w:r>
      <w:r>
        <w:rPr>
          <w:rFonts w:ascii="Consolas" w:hAnsi="Consolas" w:eastAsia="Consolas"/>
          <w:color w:val="0F4C5C"/>
          <w:sz w:val="17"/>
        </w:rPr>
        <w:t>SubscriberController</w:t>
      </w:r>
      <w:r>
        <w:rPr>
          <w:rFonts w:ascii="Plus Jakarta Sans" w:hAnsi="Plus Jakarta Sans" w:eastAsia="Plus Jakarta Sans"/>
          <w:sz w:val="18"/>
        </w:rPr>
        <w:t xml:space="preserve"> es una lista de email web/paciente y no se amplía para este flujo.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10.2 Plan Beta — Fundadoras S1 después del uso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Encaje:</w:t>
      </w:r>
      <w:r>
        <w:rPr>
          <w:rFonts w:ascii="Plus Jakarta Sans" w:hAnsi="Plus Jakarta Sans" w:eastAsia="Plus Jakarta Sans"/>
          <w:sz w:val="18"/>
        </w:rPr>
        <w:t xml:space="preserve"> fases 3–4 recortadas de Kleo + cohorte Café limitada por capacidad, sin retorno.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Pasos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Un subconjunto de Alfa que ya usó la app firma contrato marco.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 xml:space="preserve">Aplicar el waiver canónico: cuota fija USD 0 durante meses 1–2, máximo 10; </w:t>
      </w:r>
      <w:r>
        <w:rPr>
          <w:rFonts w:ascii="Consolas" w:hAnsi="Consolas" w:eastAsia="Consolas"/>
          <w:color w:val="0F4C5C"/>
          <w:sz w:val="17"/>
        </w:rPr>
        <w:t>%GMV</w:t>
      </w:r>
      <w:r>
        <w:rPr>
          <w:rFonts w:ascii="Plus Jakarta Sans" w:hAnsi="Plus Jakarta Sans" w:eastAsia="Plus Jakarta Sans"/>
          <w:sz w:val="18"/>
        </w:rPr>
        <w:t xml:space="preserve"> sujeto a </w:t>
      </w:r>
      <w:r>
        <w:rPr>
          <w:rFonts w:ascii="Consolas" w:hAnsi="Consolas" w:eastAsia="Consolas"/>
          <w:color w:val="0F4C5C"/>
          <w:sz w:val="17"/>
        </w:rPr>
        <w:t>CAP-P01</w:t>
      </w:r>
      <w:r>
        <w:rPr>
          <w:rFonts w:ascii="Plus Jakarta Sans" w:hAnsi="Plus Jakarta Sans" w:eastAsia="Plus Jakarta Sans"/>
          <w:sz w:val="18"/>
        </w:rPr>
        <w:t>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Ofrecer white-glove acotado: visitas, capacitación, minutas y canal de feedback; no soporte 24/7.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Medir catálogo activo, primera orden, GMV, soporte, conversión a pago y retención.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No ampliar S1 por encima de 10; la expansión hacia ~28 pertenece al reloj post-wire.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Mantener S2/lifetime fuera. Si una farmacia invierte, firma un SAFE separado.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Criterios de parada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no comunicar el waiver mientras </w:t>
      </w:r>
      <w:r>
        <w:rPr>
          <w:rFonts w:ascii="Consolas" w:hAnsi="Consolas" w:eastAsia="Consolas"/>
          <w:color w:val="0F4C5C"/>
          <w:sz w:val="17"/>
        </w:rPr>
        <w:t>%GMV</w:t>
      </w:r>
      <w:r>
        <w:rPr>
          <w:rFonts w:ascii="Plus Jakarta Sans" w:hAnsi="Plus Jakarta Sans" w:eastAsia="Plus Jakarta Sans"/>
          <w:sz w:val="18"/>
        </w:rPr>
        <w:t xml:space="preserve"> siga ambiguo;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onboarding no repetible;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presentar S1 como capital levantado;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usar FOMO como «quedan tres cupos»;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prometer lock indefinido, analytics inexistente o posicionamiento preferente.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10.3 Plan Gamma — control negativo, no elegir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Propuesta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Por qué se rechaza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USD 45 de por vida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Lock indefinido; contradice waiver 0×2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Segunda cohorte a USD 60 por «subida»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60 ya es Pro; un video no cambia el menú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Rolling SAFE cap 600k→800k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Otro instrumento; el ask vigente no está recaudado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Exclusividad logística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Viola guardrail del piloto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10 firmas = fondear SAFE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Cliente ≠ inversor; T+0 exige wire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Posts/DM automáticos en cuatro semanas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Viola §1.10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White-glove 24/7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 existe capacidad financiada</w:t>
            </w:r>
          </w:p>
        </w:tc>
      </w:tr>
    </w:tbl>
    <w:p/>
    <w:p>
      <w:r>
        <w:rPr>
          <w:rFonts w:ascii="Plus Jakarta Sans" w:hAnsi="Plus Jakarta Sans" w:eastAsia="Plus Jakarta Sans"/>
          <w:sz w:val="18"/>
        </w:rPr>
        <w:t>Un «sí» genérico no rehabilita Gamma. Cualquier outreach requiere un plan nuevo, pipeline real (</w:t>
      </w:r>
      <w:r>
        <w:rPr>
          <w:rFonts w:ascii="Consolas" w:hAnsi="Consolas" w:eastAsia="Consolas"/>
          <w:color w:val="0F4C5C"/>
          <w:sz w:val="17"/>
        </w:rPr>
        <w:t>CAP-P06</w:t>
      </w:r>
      <w:r>
        <w:rPr>
          <w:rFonts w:ascii="Plus Jakarta Sans" w:hAnsi="Plus Jakarta Sans" w:eastAsia="Plus Jakarta Sans"/>
          <w:sz w:val="18"/>
        </w:rPr>
        <w:t>) y OK explícito.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10.4 Plan Delta — S2 prepago anual futuro</w:t>
      </w:r>
    </w:p>
    <w:p>
      <w:r>
        <w:rPr>
          <w:rFonts w:ascii="Plus Jakarta Sans" w:hAnsi="Plus Jakarta Sans" w:eastAsia="Plus Jakarta Sans"/>
          <w:sz w:val="18"/>
        </w:rPr>
        <w:t xml:space="preserve">Delta es el escenario §9 S2: membresía de consumo cobrada por adelantado y asignada a servicios reales. </w:t>
      </w:r>
      <w:r>
        <w:rPr>
          <w:rFonts w:ascii="Plus Jakarta Sans" w:hAnsi="Plus Jakarta Sans" w:eastAsia="Plus Jakarta Sans"/>
          <w:b/>
          <w:color w:val="1E2A5A"/>
          <w:sz w:val="18"/>
        </w:rPr>
        <w:t>No es opción ahora.</w:t>
      </w:r>
    </w:p>
    <w:p>
      <w:r>
        <w:rPr>
          <w:rFonts w:ascii="Plus Jakarta Sans" w:hAnsi="Plus Jakarta Sans" w:eastAsia="Plus Jakarta Sans"/>
          <w:sz w:val="18"/>
        </w:rPr>
        <w:t>Solo se reabre después de Beta cuando existan: uso real, ciclo post-waiver cobrado, margen observado, política de refund, contador, abogado y reproyección founder. No diluye el cap SAFE ni convierte clientes en inversionistas.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10.5 Matriz de elección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3"/>
              </w:rPr>
              <w:t>Alfa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3"/>
              </w:rPr>
              <w:t>Beta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3"/>
              </w:rPr>
              <w:t>Gamma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3"/>
              </w:rPr>
              <w:t>Delta</w:t>
            </w:r>
          </w:p>
        </w:tc>
      </w:tr>
      <w:tr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Encaje con canon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Alto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 xml:space="preserve">Alto si cierra </w:t>
            </w:r>
            <w:r>
              <w:rPr>
                <w:rFonts w:ascii="Consolas" w:hAnsi="Consolas" w:eastAsia="Consolas"/>
                <w:color w:val="0F4C5C"/>
                <w:sz w:val="12"/>
              </w:rPr>
              <w:t>CAP-P01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Nulo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Alto después de gates</w:t>
            </w:r>
          </w:p>
        </w:tc>
      </w:tr>
      <w:tr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Encaje con «10 prueban»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Alto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Es contrato, no prueba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Mezcla SAFE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Nulo ahora</w:t>
            </w:r>
          </w:p>
        </w:tc>
      </w:tr>
      <w:tr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Prueba WTP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No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Parcial: waiver ≠ cobro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No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Sí, con cobro</w:t>
            </w:r>
          </w:p>
        </w:tc>
      </w:tr>
      <w:tr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Exige wire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No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No para las 10 S1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Finge T+0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No</w:t>
            </w:r>
          </w:p>
        </w:tc>
      </w:tr>
      <w:tr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Riesgo legal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Bajo si inbound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Medio por copy contractual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Alto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Alto sin asesoría</w:t>
            </w:r>
          </w:p>
        </w:tc>
      </w:tr>
      <w:tr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Código app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No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No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No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3"/>
              </w:rPr>
              <w:t>No</w:t>
            </w:r>
          </w:p>
        </w:tc>
      </w:tr>
      <w:tr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3"/>
              </w:rPr>
              <w:t>¿Elegible ahora?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b/>
                <w:color w:val="1E2A5A"/>
                <w:sz w:val="13"/>
              </w:rPr>
              <w:t>Sí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b/>
                <w:color w:val="1E2A5A"/>
                <w:sz w:val="13"/>
              </w:rPr>
              <w:t>Después de uso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b/>
                <w:color w:val="1E2A5A"/>
                <w:sz w:val="13"/>
              </w:rPr>
              <w:t>No</w:t>
            </w:r>
          </w:p>
        </w:tc>
        <w:tc>
          <w:tcPr>
            <w:tcW w:type="dxa" w:w="203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b/>
                <w:color w:val="1E2A5A"/>
                <w:sz w:val="13"/>
              </w:rPr>
              <w:t>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9064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90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lus Jakarta Sans" w:hAnsi="Plus Jakarta Sans" w:eastAsia="Plus Jakarta Sans"/>
          <w:b/>
          <w:i/>
          <w:color w:val="0F4C5C"/>
          <w:sz w:val="16"/>
        </w:rPr>
        <w:t>Árbol de decisión Alfa → Beta → evaluación de Delta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Decisión recomendada:</w:t>
      </w:r>
      <w:r>
        <w:rPr>
          <w:rFonts w:ascii="Plus Jakarta Sans" w:hAnsi="Plus Jakarta Sans" w:eastAsia="Plus Jakarta Sans"/>
          <w:sz w:val="18"/>
        </w:rPr>
        <w:t xml:space="preserve"> Alfa ahora → Beta después del uso. Delta permanece como hipótesis post-cobro. Gamma queda cerrado.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11. Dashboard semanal del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Carril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Métricas leading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Métrica de resultado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 Inversión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cualificados, respuestas, reuniones, DD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SAFE firmado / condiciones cerradas / wire liberado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B Farmacias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entrevistas, demos, LOI, contratos, onboarding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activas + orden + pago + retención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 Partners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candidatos, LOI, KYC, pruebas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SLA operativo y entregas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D Operación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candidatos, referencias, trials, contratos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hitos 30/60/90</w:t>
            </w:r>
          </w:p>
        </w:tc>
      </w:tr>
    </w:tbl>
    <w:p/>
    <w:p>
      <w:r>
        <w:rPr>
          <w:rFonts w:ascii="Plus Jakarta Sans" w:hAnsi="Plus Jakarta Sans" w:eastAsia="Plus Jakarta Sans"/>
          <w:sz w:val="18"/>
        </w:rPr>
        <w:t>Cada número debe guardar fecha, fuente y dueño. No sumar stages incompatibles.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11.1 Fuentes de verdad del pipeline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Carril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Fuente operativa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 Inversión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docs/Inversionistas/</w:t>
            </w:r>
            <w:r>
              <w:rPr>
                <w:rFonts w:ascii="Plus Jakarta Sans" w:hAnsi="Plus Jakarta Sans" w:eastAsia="Plus Jakarta Sans"/>
                <w:sz w:val="15"/>
              </w:rPr>
              <w:t xml:space="preserve"> + CRM comparativo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B Farmacias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VOLCADO_RESPUESTAS_CUESTIONARIO.md</w:t>
            </w:r>
            <w:r>
              <w:rPr>
                <w:rFonts w:ascii="Plus Jakarta Sans" w:hAnsi="Plus Jakarta Sans" w:eastAsia="Plus Jakarta Sans"/>
                <w:sz w:val="15"/>
              </w:rPr>
              <w:t xml:space="preserve"> §6 / CRM Sales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 Delivery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VOLCADO_RESPUESTAS_CUESTIONARIO.md</w:t>
            </w:r>
            <w:r>
              <w:rPr>
                <w:rFonts w:ascii="Plus Jakarta Sans" w:hAnsi="Plus Jakarta Sans" w:eastAsia="Plus Jakarta Sans"/>
                <w:sz w:val="15"/>
              </w:rPr>
              <w:t xml:space="preserve"> §7 + REGISTRO P1-10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D Equipo/advisors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VOLCADO_RESPUESTAS_CUESTIONARIO.md</w:t>
            </w:r>
            <w:r>
              <w:rPr>
                <w:rFonts w:ascii="Plus Jakarta Sans" w:hAnsi="Plus Jakarta Sans" w:eastAsia="Plus Jakarta Sans"/>
                <w:sz w:val="15"/>
              </w:rPr>
              <w:t xml:space="preserve"> §5</w:t>
            </w:r>
          </w:p>
        </w:tc>
      </w:tr>
    </w:tbl>
    <w:p/>
    <w:p>
      <w:r>
        <w:rPr>
          <w:rFonts w:ascii="Plus Jakarta Sans" w:hAnsi="Plus Jakarta Sans" w:eastAsia="Plus Jakarta Sans"/>
          <w:sz w:val="18"/>
        </w:rPr>
        <w:t>Cada registro debe tener:</w:t>
      </w:r>
    </w:p>
    <w:p>
      <w:pPr>
        <w:shd w:fill="142033"/>
      </w:pPr>
      <w:r>
        <w:rPr>
          <w:rFonts w:ascii="Consolas" w:hAnsi="Consolas" w:eastAsia="Consolas"/>
          <w:color w:val="FFFFFF"/>
          <w:sz w:val="16"/>
        </w:rPr>
        <w:t>id | contraparte | carril | etapa | dueño | próxima acción</w:t>
        <w:br/>
        <w:t>fecha límite | evidencia/enlace | fecha última actualización | estado</w:t>
      </w:r>
    </w:p>
    <w:p>
      <w:r>
        <w:rPr>
          <w:rFonts w:ascii="Plus Jakarta Sans" w:hAnsi="Plus Jakarta Sans" w:eastAsia="Plus Jakarta Sans"/>
          <w:sz w:val="18"/>
        </w:rPr>
        <w:t>Regla de unicidad: una contraparte puede aparecer en dos carriles solo con dos registros e instrumentos explícitos. Las métricas de etapa usan conteo de contrapartes únicas dentro de una ventana semanal; no se suman acumulados históricos como pipeline activo.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12. Registro de decisiones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Decisión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Cierre / próxima revisión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CAP-D01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Mantener SAFE separado del contrato comercial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 reabrir sin nueva estructura legal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CAP-D02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Ask 237.412/cap 600k es meta, no recaudado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Cambia solo con decisión financiera versionada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CAP-D03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Cuatro carriles con instrumentos/ledgers separados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Revisar al añadir un nuevo tipo de contraparte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CAP-D04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Farmacias fundadoras = clientes, no inversionistas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No reabrir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CAP-D05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Sin profit share/retorno/equity para clientes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 reabrir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CAP-D06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Sin patient float; Zonix no es PSP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No reabrir en piloto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CAP-D07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No equity para freelancers/advisors en piloto por defecto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Excepción exige §7.4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CAP-D08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Copy B2B = consumo; analogía Costco/Smoke &amp; Mirrors, no Flyfish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EXT-003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CAP-D09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De Kleo se adopta el orden de señales, no cifras/pricing/waitlist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DECIDIDO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EXT-004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CAP-D10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Gamma (lifetime, cap 800k, exclusividad, sprint 4 semanas)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RECHAZADO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No reabrir con un OK genérico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CAP-R01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50 farmacias × 1.500 y 0% comisión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RECHAZADO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Solo nueva hipótesis con WTP + FP&amp;A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CAP-R02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Etiquetar fraude/Ponzi/quiebra sin prueba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RECHAZADO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No reabrir sin hechos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CAP-P01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Precisar cobro de %GMV durante waiver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founder + FP&amp;A + contrato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Antes de comunicar oferta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CAP-P02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Obtener URLs directas del DOCX Gemini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investigación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Antes de citarlo externamente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CAP-P03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Aprobar o descartar prepago anual después de datos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post-validación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Después de primer cobro post-waiver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CAP-P04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Tratamiento contable/fiscal de eventual prepago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contador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Antes de modelar/lanzar S2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CAP-P05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Plantillas SAFE/contratos/vesting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abogado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Antes de firma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CAP-P06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Primer pipeline real por carril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founder/equipo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Fecha objetivo por definir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CAP-P07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Alinear umbrales de cambio de tier con bandas 2.001/5.001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founder + FP&amp;A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Antes del contrato final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CAP-P08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Verificar URLs de EXT-003 (Flyfish 34-101072, 10-K Starbucks, SUNAVAL/SUNDDE) antes de citarlas fuera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investigación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Antes de data room o pitch externo</w:t>
            </w:r>
          </w:p>
        </w:tc>
      </w:tr>
      <w:tr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CAP-P09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Autorizar ejecución de Alfa→Beta y el primer contacto real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PENDIENTE founder</w:t>
            </w:r>
          </w:p>
        </w:tc>
        <w:tc>
          <w:tcPr>
            <w:tcW w:type="dxa" w:w="253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Antes de outreach; este documento no contacta</w:t>
            </w:r>
          </w:p>
        </w:tc>
      </w:tr>
    </w:tbl>
    <w:p/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13. Cómo incorporar la próxima investigación</w:t>
      </w:r>
    </w:p>
    <w:p>
      <w:r>
        <w:rPr>
          <w:rFonts w:ascii="Plus Jakarta Sans" w:hAnsi="Plus Jakarta Sans" w:eastAsia="Plus Jakarta Sans"/>
          <w:sz w:val="18"/>
        </w:rPr>
        <w:t>Cuando el founder entregue otra salida: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 xml:space="preserve">asignar ID </w:t>
      </w:r>
      <w:r>
        <w:rPr>
          <w:rFonts w:ascii="Consolas" w:hAnsi="Consolas" w:eastAsia="Consolas"/>
          <w:color w:val="0F4C5C"/>
          <w:sz w:val="17"/>
        </w:rPr>
        <w:t>EXT-00N</w:t>
      </w:r>
      <w:r>
        <w:rPr>
          <w:rFonts w:ascii="Plus Jakarta Sans" w:hAnsi="Plus Jakarta Sans" w:eastAsia="Plus Jakarta Sans"/>
          <w:sz w:val="18"/>
        </w:rPr>
        <w:t>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conservar el texto íntegro fuera del data room;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extraer afirmaciones y cálculos;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contrastar contra fuentes primarias y pack v4;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 xml:space="preserve">clasificar </w:t>
      </w:r>
      <w:r>
        <w:rPr>
          <w:rFonts w:ascii="Consolas" w:hAnsi="Consolas" w:eastAsia="Consolas"/>
          <w:color w:val="0F4C5C"/>
          <w:sz w:val="17"/>
        </w:rPr>
        <w:t>MANTENER/CORREGIR/DESCARTAR/PENDIENTE HUMANO</w:t>
      </w:r>
      <w:r>
        <w:rPr>
          <w:rFonts w:ascii="Plus Jakarta Sans" w:hAnsi="Plus Jakarta Sans" w:eastAsia="Plus Jakarta Sans"/>
          <w:sz w:val="18"/>
        </w:rPr>
        <w:t>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identificar qué carril y decisión afecta;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actualizar solo las secciones afectadas;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registrar nueva versión y fecha;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no ejecutar outreach, pricing o contratos sin gate humano.</w:t>
      </w: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14. Próximas acciones concretas</w:t>
      </w:r>
    </w:p>
    <w:p>
      <w:pPr>
        <w:pStyle w:val="Heading2"/>
      </w:pPr>
      <w:r>
        <w:rPr>
          <w:rFonts w:ascii="Plus Jakarta Sans" w:hAnsi="Plus Jakarta Sans" w:eastAsia="Plus Jakarta Sans"/>
          <w:b/>
          <w:color w:val="0F4C5C"/>
          <w:sz w:val="28"/>
        </w:rPr>
        <w:t>14.1 Decisiones founder todavía abiertas</w:t>
      </w:r>
    </w:p>
    <w:p>
      <w:pPr>
        <w:pStyle w:val="ListNumber"/>
      </w:pPr>
      <w:r>
        <w:rPr>
          <w:rFonts w:ascii="Plus Jakarta Sans" w:hAnsi="Plus Jakarta Sans" w:eastAsia="Plus Jakarta Sans"/>
          <w:b w:val="0"/>
          <w:sz w:val="18"/>
        </w:rPr>
        <w:t>¿Las 10 de Alfa son solo prueba de producto o las que cumplan gates pasan después a S1/Beta?</w:t>
      </w:r>
    </w:p>
    <w:p>
      <w:pPr>
        <w:pStyle w:val="ListNumber"/>
      </w:pPr>
      <w:r>
        <w:rPr>
          <w:rFonts w:ascii="Plus Jakarta Sans" w:hAnsi="Plus Jakarta Sans" w:eastAsia="Plus Jakarta Sans"/>
          <w:b w:val="0"/>
          <w:sz w:val="18"/>
        </w:rPr>
        <w:t>¿La CTA de inversor será siempre privada al CRM? Un formulario público requiere revisión legal.</w:t>
      </w:r>
    </w:p>
    <w:p>
      <w:pPr>
        <w:pStyle w:val="ListNumber"/>
      </w:pPr>
      <w:r>
        <w:rPr>
          <w:rFonts w:ascii="Plus Jakarta Sans" w:hAnsi="Plus Jakarta Sans" w:eastAsia="Plus Jakarta Sans"/>
          <w:b w:val="0"/>
          <w:sz w:val="18"/>
        </w:rPr>
        <w:t>¿Dónde vivirá el formulario B2B y quién lo cualificará semanalmente?</w:t>
      </w:r>
    </w:p>
    <w:p>
      <w:pPr>
        <w:pStyle w:val="ListNumber"/>
      </w:pPr>
      <w:r>
        <w:rPr>
          <w:rFonts w:ascii="Plus Jakarta Sans" w:hAnsi="Plus Jakarta Sans" w:eastAsia="Plus Jakarta Sans"/>
          <w:b w:val="0"/>
          <w:sz w:val="18"/>
        </w:rPr>
        <w:t>¿Quién puede retrasar Beta, expansión o Day-D si el onboarding no es repetible?</w:t>
      </w:r>
    </w:p>
    <w:p>
      <w:pPr>
        <w:pStyle w:val="ListNumber"/>
      </w:pPr>
      <w:r>
        <w:rPr>
          <w:rFonts w:ascii="Plus Jakarta Sans" w:hAnsi="Plus Jakarta Sans" w:eastAsia="Plus Jakarta Sans"/>
          <w:b w:val="0"/>
          <w:sz w:val="18"/>
        </w:rPr>
        <w:t>¿Existen ≥5 mom-test documentados o la Fase 1 debe esperar?</w:t>
      </w:r>
    </w:p>
    <w:p>
      <w:pPr>
        <w:pStyle w:val="ListNumber"/>
      </w:pPr>
      <w:r>
        <w:rPr>
          <w:rFonts w:ascii="Plus Jakarta Sans" w:hAnsi="Plus Jakarta Sans" w:eastAsia="Plus Jakarta Sans"/>
          <w:b w:val="0"/>
          <w:sz w:val="18"/>
        </w:rPr>
        <w:t>¿Se autoriza CAP-P09: Alfa, Beta o Alfa→Beta y el primer contacto real?</w:t>
      </w:r>
    </w:p>
    <w:p>
      <w:pPr>
        <w:pStyle w:val="Heading2"/>
      </w:pPr>
      <w:r>
        <w:rPr>
          <w:rFonts w:ascii="Plus Jakarta Sans" w:hAnsi="Plus Jakarta Sans" w:eastAsia="Plus Jakarta Sans"/>
          <w:b/>
          <w:color w:val="0F4C5C"/>
          <w:sz w:val="28"/>
        </w:rPr>
        <w:t>14.2 Acciones condicionadas a esas decisiones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 xml:space="preserve">Founder confirma </w:t>
      </w:r>
      <w:r>
        <w:rPr>
          <w:rFonts w:ascii="Consolas" w:hAnsi="Consolas" w:eastAsia="Consolas"/>
          <w:color w:val="0F4C5C"/>
          <w:sz w:val="17"/>
        </w:rPr>
        <w:t>CAP-P09</w:t>
      </w:r>
      <w:r>
        <w:rPr>
          <w:rFonts w:ascii="Plus Jakarta Sans" w:hAnsi="Plus Jakarta Sans" w:eastAsia="Plus Jakarta Sans"/>
          <w:sz w:val="18"/>
        </w:rPr>
        <w:t>: Alfa, Beta o Alfa→Beta; hasta entonces no hay contacto.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Completar evidencia P0, demo y capacidad de onboarding antes de Alfa.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Ejecutar ≥5 mom-test B2B y registrar objeciones/WTP.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Cargar candidatos reales en los cuatro embudos sin confundir interés con compromiso.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Identificar partner delivery #1 y fallback no exclusivo.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 xml:space="preserve">Cerrar </w:t>
      </w:r>
      <w:r>
        <w:rPr>
          <w:rFonts w:ascii="Consolas" w:hAnsi="Consolas" w:eastAsia="Consolas"/>
          <w:color w:val="0F4C5C"/>
          <w:sz w:val="17"/>
        </w:rPr>
        <w:t>CAP-P01</w:t>
      </w:r>
      <w:r>
        <w:rPr>
          <w:rFonts w:ascii="Plus Jakarta Sans" w:hAnsi="Plus Jakarta Sans" w:eastAsia="Plus Jakarta Sans"/>
          <w:sz w:val="18"/>
        </w:rPr>
        <w:t xml:space="preserve"> antes de comunicar el waiver de Beta.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Mantener S2/Delta fuera del pitch hasta superar §9.1.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Solicitar/normalizar URLs directas pendientes (</w:t>
      </w:r>
      <w:r>
        <w:rPr>
          <w:rFonts w:ascii="Consolas" w:hAnsi="Consolas" w:eastAsia="Consolas"/>
          <w:color w:val="0F4C5C"/>
          <w:sz w:val="17"/>
        </w:rPr>
        <w:t>CAP-P02</w:t>
      </w:r>
      <w:r>
        <w:rPr>
          <w:rFonts w:ascii="Plus Jakarta Sans" w:hAnsi="Plus Jakarta Sans" w:eastAsia="Plus Jakarta Sans"/>
          <w:sz w:val="18"/>
        </w:rPr>
        <w:t xml:space="preserve">, </w:t>
      </w:r>
      <w:r>
        <w:rPr>
          <w:rFonts w:ascii="Consolas" w:hAnsi="Consolas" w:eastAsia="Consolas"/>
          <w:color w:val="0F4C5C"/>
          <w:sz w:val="17"/>
        </w:rPr>
        <w:t>CAP-P08</w:t>
      </w:r>
      <w:r>
        <w:rPr>
          <w:rFonts w:ascii="Plus Jakarta Sans" w:hAnsi="Plus Jakarta Sans" w:eastAsia="Plus Jakarta Sans"/>
          <w:sz w:val="18"/>
        </w:rPr>
        <w:t>) antes de citarlas fuera.</w:t>
      </w:r>
    </w:p>
    <w:p>
      <w:pPr>
        <w:pBdr>
          <w:bottom w:val="single" w:sz="6" w:color="C7CFD9"/>
        </w:pBdr>
      </w:pPr>
    </w:p>
    <w:p>
      <w:r>
        <w:rPr>
          <w:rFonts w:ascii="Plus Jakarta Sans" w:hAnsi="Plus Jakarta Sans" w:eastAsia="Plus Jakarta Sans"/>
          <w:b/>
          <w:color w:val="1E2A5A"/>
          <w:sz w:val="18"/>
        </w:rPr>
        <w:t>Fuentes internas principales:</w:t>
      </w:r>
      <w:r>
        <w:rPr>
          <w:rFonts w:ascii="Plus Jakarta Sans" w:hAnsi="Plus Jakarta Sans" w:eastAsia="Plus Jakarta Sans"/>
          <w:sz w:val="18"/>
        </w:rPr>
        <w:t xml:space="preserve"> </w:t>
      </w:r>
      <w:hyperlink r:id="rId21">
        <w:r>
          <w:rPr>
            <w:color w:val="0F4C5C"/>
            <w:u w:val="single"/>
            <w:rFonts w:ascii="Plus Jakarta Sans" w:hAnsi="Plus Jakarta Sans"/>
          </w:rPr>
          <w:t>README del pack</w:t>
        </w:r>
      </w:hyperlink>
      <w:r>
        <w:rPr>
          <w:rFonts w:ascii="Plus Jakarta Sans" w:hAnsi="Plus Jakarta Sans" w:eastAsia="Plus Jakarta Sans"/>
          <w:sz w:val="18"/>
        </w:rPr>
        <w:t xml:space="preserve"> · </w:t>
      </w:r>
      <w:hyperlink r:id="rId19">
        <w:r>
          <w:rPr>
            <w:color w:val="0F4C5C"/>
            <w:u w:val="single"/>
            <w:rFonts w:ascii="Plus Jakarta Sans" w:hAnsi="Plus Jakarta Sans"/>
          </w:rPr>
          <w:t>Plan lanzamiento</w:t>
        </w:r>
      </w:hyperlink>
      <w:r>
        <w:rPr>
          <w:rFonts w:ascii="Plus Jakarta Sans" w:hAnsi="Plus Jakarta Sans" w:eastAsia="Plus Jakarta Sans"/>
          <w:sz w:val="18"/>
        </w:rPr>
        <w:t xml:space="preserve"> · </w:t>
      </w:r>
      <w:hyperlink r:id="rId17">
        <w:r>
          <w:rPr>
            <w:color w:val="0F4C5C"/>
            <w:u w:val="single"/>
            <w:rFonts w:ascii="Plus Jakarta Sans" w:hAnsi="Plus Jakarta Sans"/>
          </w:rPr>
          <w:t>Propuesta B2B</w:t>
        </w:r>
      </w:hyperlink>
      <w:r>
        <w:rPr>
          <w:rFonts w:ascii="Plus Jakarta Sans" w:hAnsi="Plus Jakarta Sans" w:eastAsia="Plus Jakarta Sans"/>
          <w:sz w:val="18"/>
        </w:rPr>
        <w:t xml:space="preserve"> · </w:t>
      </w:r>
      <w:hyperlink r:id="rId22">
        <w:r>
          <w:rPr>
            <w:color w:val="0F4C5C"/>
            <w:u w:val="single"/>
            <w:rFonts w:ascii="Plus Jakarta Sans" w:hAnsi="Plus Jakarta Sans"/>
          </w:rPr>
          <w:t>Tercer lado</w:t>
        </w:r>
      </w:hyperlink>
      <w:r>
        <w:rPr>
          <w:rFonts w:ascii="Plus Jakarta Sans" w:hAnsi="Plus Jakarta Sans" w:eastAsia="Plus Jakarta Sans"/>
          <w:sz w:val="18"/>
        </w:rPr>
        <w:t xml:space="preserve"> · </w:t>
      </w:r>
      <w:hyperlink r:id="rId16">
        <w:r>
          <w:rPr>
            <w:color w:val="0F4C5C"/>
            <w:u w:val="single"/>
            <w:rFonts w:ascii="Plus Jakarta Sans" w:hAnsi="Plus Jakarta Sans"/>
          </w:rPr>
          <w:t>Estructura legal</w:t>
        </w:r>
      </w:hyperlink>
      <w:r>
        <w:rPr>
          <w:rFonts w:ascii="Plus Jakarta Sans" w:hAnsi="Plus Jakarta Sans" w:eastAsia="Plus Jakarta Sans"/>
          <w:sz w:val="18"/>
        </w:rPr>
        <w:t xml:space="preserve"> · </w:t>
      </w:r>
      <w:hyperlink r:id="rId23">
        <w:r>
          <w:rPr>
            <w:color w:val="0F4C5C"/>
            <w:u w:val="single"/>
            <w:rFonts w:ascii="Plus Jakarta Sans" w:hAnsi="Plus Jakarta Sans"/>
          </w:rPr>
          <w:t>Plan métodos de pago</w:t>
        </w:r>
      </w:hyperlink>
      <w:r>
        <w:rPr>
          <w:rFonts w:ascii="Plus Jakarta Sans" w:hAnsi="Plus Jakarta Sans" w:eastAsia="Plus Jakarta Sans"/>
          <w:sz w:val="18"/>
        </w:rPr>
        <w:t xml:space="preserve"> · anexos de evidencia de este documento.</w:t>
      </w:r>
    </w:p>
    <w:p>
      <w:pPr>
        <w:pBdr>
          <w:bottom w:val="single" w:sz="6" w:color="C7CFD9"/>
        </w:pBdr>
      </w:pP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Anexo A — Evidencia del video Café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A.1 Identificación y límite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URL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4">
              <w:r>
                <w:rPr>
                  <w:color w:val="0F4C5C"/>
                  <w:u w:val="single"/>
                  <w:rFonts w:ascii="Plus Jakarta Sans" w:hAnsi="Plus Jakarta Sans"/>
                </w:rPr>
                <w:t>Facebook reel 2087986695439858</w:t>
              </w:r>
            </w:hyperlink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Fecha del análisis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20 agosto 2026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Naturaleza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Pieza narrativa/ficción usada como caso; no prueba de una transacción real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ASR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 xml:space="preserve">Whisper </w:t>
            </w:r>
            <w:r>
              <w:rPr>
                <w:rFonts w:ascii="Consolas" w:hAnsi="Consolas" w:eastAsia="Consolas"/>
                <w:color w:val="0F4C5C"/>
                <w:sz w:val="14"/>
              </w:rPr>
              <w:t>base</w:t>
            </w:r>
            <w:r>
              <w:rPr>
                <w:rFonts w:ascii="Plus Jakarta Sans" w:hAnsi="Plus Jakarta Sans" w:eastAsia="Plus Jakarta Sans"/>
                <w:sz w:val="15"/>
              </w:rPr>
              <w:t xml:space="preserve"> ES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SHA-256 video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6bdd358d9c79fcdb7613dfda0ac538d8f280e0ffcd4565eb1125931079ecb3f6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SHA-256 audio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Consolas" w:hAnsi="Consolas" w:eastAsia="Consolas"/>
                <w:color w:val="0F4C5C"/>
                <w:sz w:val="14"/>
              </w:rPr>
              <w:t>866940b74a118fe5fb1ba586d9dd625447f59ac7aa9a484fc676b6d26352c6da</w:t>
            </w:r>
          </w:p>
        </w:tc>
      </w:tr>
    </w:tbl>
    <w:p/>
    <w:p>
      <w:r>
        <w:rPr>
          <w:rFonts w:ascii="Plus Jakarta Sans" w:hAnsi="Plus Jakarta Sans" w:eastAsia="Plus Jakarta Sans"/>
          <w:sz w:val="18"/>
        </w:rPr>
        <w:t xml:space="preserve">El arco combina </w:t>
      </w:r>
      <w:r>
        <w:rPr>
          <w:rFonts w:ascii="Plus Jakarta Sans" w:hAnsi="Plus Jakarta Sans" w:eastAsia="Plus Jakarta Sans"/>
          <w:b/>
          <w:color w:val="1E2A5A"/>
          <w:sz w:val="18"/>
        </w:rPr>
        <w:t>opción operativa + equity/garantías + red + membresías prepagadas + revenue sharing</w:t>
      </w:r>
      <w:r>
        <w:rPr>
          <w:rFonts w:ascii="Plus Jakarta Sans" w:hAnsi="Plus Jakarta Sans" w:eastAsia="Plus Jakarta Sans"/>
          <w:sz w:val="18"/>
        </w:rPr>
        <w:t>. Su idea válida es financiar crecimiento con clientes; su error es presentar caja condicionada como capital libre.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A.2 Cadena narrativa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Claim del reel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Lectura técnica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Negociación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Ask 1,5M; oferta 1,75M cash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Compra de activo, no LBO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Control temporal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Depósito 175k + 30 días; se pierde si no cierra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Opción de facto / earnest money con operación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Equipo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8% a operadores + 35k de garantía reembolsable al año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Equity compensation + garantía; no demuestra compra de equity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Membresía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200 contratos × 10k = 2M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Customer-funded / prepago con obligación de servicio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Beneficio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crédito 10k y pagos/valor 15k + 25k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La ambigüedad consumo-retorno activa riesgo financiero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Cierre narrativo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«Dejar de vender café»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Monetiza membresía/red; no prueba unit economics del local</w:t>
            </w:r>
          </w:p>
        </w:tc>
      </w:tr>
    </w:tbl>
    <w:p/>
    <w:p>
      <w:r>
        <w:rPr>
          <w:rFonts w:ascii="Plus Jakarta Sans" w:hAnsi="Plus Jakarta Sans" w:eastAsia="Plus Jakarta Sans"/>
          <w:b/>
          <w:color w:val="1E2A5A"/>
          <w:sz w:val="18"/>
        </w:rPr>
        <w:t>Lo que no es:</w:t>
      </w:r>
      <w:r>
        <w:rPr>
          <w:rFonts w:ascii="Plus Jakarta Sans" w:hAnsi="Plus Jakarta Sans" w:eastAsia="Plus Jakarta Sans"/>
          <w:sz w:val="18"/>
        </w:rPr>
        <w:t xml:space="preserve"> no hay deuda senior o repago con EBITDA para llamarlo LBO; no hay seller financing ni earnout demostrados; no es Ponzi por definición; no es crowdfunding de recompensas puro si existe profit share.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A.3 Fuentes y usos corregidos</w:t>
      </w:r>
    </w:p>
    <w:p>
      <w:pPr>
        <w:shd w:fill="142033"/>
      </w:pPr>
      <w:r>
        <w:rPr>
          <w:rFonts w:ascii="Consolas" w:hAnsi="Consolas" w:eastAsia="Consolas"/>
          <w:color w:val="FFFFFF"/>
          <w:sz w:val="16"/>
        </w:rPr>
        <w:t>Precio acordado                         = 1.750.000</w:t>
        <w:br/>
        <w:t>Depósito propio ya aplicado             =   175.000</w:t>
        <w:br/>
        <w:t>Saldo a pagar                           = 1.575.000</w:t>
        <w:br/>
        <w:t>Membresías cobradas                     = 2.000.000</w:t>
        <w:br/>
        <w:t>Caja física tras pagar el saldo         =   425.000</w:t>
        <w:br/>
        <w:t>Exceso de caja de clientes sobre precio =   250.000</w:t>
      </w:r>
    </w:p>
    <w:p>
      <w:r>
        <w:rPr>
          <w:rFonts w:ascii="Plus Jakarta Sans" w:hAnsi="Plus Jakarta Sans" w:eastAsia="Plus Jakarta Sans"/>
          <w:sz w:val="18"/>
        </w:rPr>
        <w:t>Los 425k se explican por 250k de exceso aportado por clientes + 175k de capital propio ya aplicado. No se deben restar las garantías como si fueran ese depósito:</w:t>
      </w:r>
    </w:p>
    <w:p>
      <w:pPr>
        <w:shd w:fill="142033"/>
      </w:pPr>
      <w:r>
        <w:rPr>
          <w:rFonts w:ascii="Consolas" w:hAnsi="Consolas" w:eastAsia="Consolas"/>
          <w:color w:val="FFFFFF"/>
          <w:sz w:val="16"/>
        </w:rPr>
        <w:t>Caja con garantías      = 425.000 + (35.000 × N)</w:t>
        <w:br/>
        <w:t>Pasivo por devolverlas  =           − (35.000 × N)</w:t>
        <w:br/>
        <w:t>Efecto neto segregado   = 0</w:t>
      </w:r>
    </w:p>
    <w:p>
      <w:r>
        <w:rPr>
          <w:rFonts w:ascii="Plus Jakarta Sans" w:hAnsi="Plus Jakarta Sans" w:eastAsia="Plus Jakarta Sans"/>
          <w:sz w:val="18"/>
        </w:rPr>
        <w:t>Ninguna de esas cifras es automáticamente revenue, profit o caja libre. Los 2M obligan a entregar créditos/servicios, operar, pagar impuestos y cubrir refunds.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A.4 Stress de cumplimiento</w:t>
      </w:r>
    </w:p>
    <w:p>
      <w:r>
        <w:rPr>
          <w:rFonts w:ascii="Plus Jakarta Sans" w:hAnsi="Plus Jakarta Sans" w:eastAsia="Plus Jakarta Sans"/>
          <w:sz w:val="18"/>
        </w:rPr>
        <w:t xml:space="preserve">Si las 200 membresías dan 2M nominales de consumo, el colchón de 425k soporta como máximo </w:t>
      </w:r>
      <w:r>
        <w:rPr>
          <w:rFonts w:ascii="Plus Jakarta Sans" w:hAnsi="Plus Jakarta Sans" w:eastAsia="Plus Jakarta Sans"/>
          <w:b/>
          <w:color w:val="1E2A5A"/>
          <w:sz w:val="18"/>
        </w:rPr>
        <w:t>21,25%</w:t>
      </w:r>
      <w:r>
        <w:rPr>
          <w:rFonts w:ascii="Plus Jakarta Sans" w:hAnsi="Plus Jakarta Sans" w:eastAsia="Plus Jakarta Sans"/>
          <w:sz w:val="18"/>
        </w:rPr>
        <w:t xml:space="preserve"> de costo incremental antes de opex fijo, impuestos, eventos, profit share y devoluciones:</w:t>
      </w:r>
    </w:p>
    <w:p>
      <w:pPr>
        <w:shd w:fill="142033"/>
      </w:pPr>
      <w:r>
        <w:rPr>
          <w:rFonts w:ascii="Consolas" w:hAnsi="Consolas" w:eastAsia="Consolas"/>
          <w:color w:val="FFFFFF"/>
          <w:sz w:val="16"/>
        </w:rPr>
        <w:t>425.000 / 2.000.000 = 21,25%</w:t>
      </w:r>
    </w:p>
    <w:p>
      <w:r>
        <w:rPr>
          <w:rFonts w:ascii="Plus Jakarta Sans" w:hAnsi="Plus Jakarta Sans" w:eastAsia="Plus Jakarta Sans"/>
          <w:b w:val="0"/>
          <w:sz w:val="18"/>
        </w:rPr>
        <w:t>Matriz de redención — solo costo variable de créditos; excluye opex, impuestos, eventos, profit share y garantías, por lo que favorece al esquema: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vAlign w:val="top"/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4"/>
              </w:rPr>
              <w:t>Redención / costo incremental</w:t>
            </w:r>
          </w:p>
        </w:tc>
        <w:tc>
          <w:tcPr>
            <w:tcW w:type="dxa" w:w="2537"/>
            <w:vAlign w:val="top"/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4"/>
              </w:rPr>
              <w:t>20%</w:t>
            </w:r>
          </w:p>
        </w:tc>
        <w:tc>
          <w:tcPr>
            <w:tcW w:type="dxa" w:w="2537"/>
            <w:vAlign w:val="top"/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4"/>
              </w:rPr>
              <w:t>30%</w:t>
            </w:r>
          </w:p>
        </w:tc>
        <w:tc>
          <w:tcPr>
            <w:tcW w:type="dxa" w:w="2537"/>
            <w:vAlign w:val="top"/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4"/>
              </w:rPr>
              <w:t>40%</w:t>
            </w:r>
          </w:p>
        </w:tc>
      </w:tr>
      <w:tr>
        <w:tc>
          <w:tcPr>
            <w:tcW w:type="dxa" w:w="2537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60%</w:t>
            </w:r>
          </w:p>
        </w:tc>
        <w:tc>
          <w:tcPr>
            <w:tcW w:type="dxa" w:w="2537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+185k</w:t>
            </w:r>
          </w:p>
        </w:tc>
        <w:tc>
          <w:tcPr>
            <w:tcW w:type="dxa" w:w="2537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+65k</w:t>
            </w:r>
          </w:p>
        </w:tc>
        <w:tc>
          <w:tcPr>
            <w:tcW w:type="dxa" w:w="2537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−55k</w:t>
            </w:r>
          </w:p>
        </w:tc>
      </w:tr>
      <w:tr>
        <w:tc>
          <w:tcPr>
            <w:tcW w:type="dxa" w:w="2537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80%</w:t>
            </w:r>
          </w:p>
        </w:tc>
        <w:tc>
          <w:tcPr>
            <w:tcW w:type="dxa" w:w="2537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+105k</w:t>
            </w:r>
          </w:p>
        </w:tc>
        <w:tc>
          <w:tcPr>
            <w:tcW w:type="dxa" w:w="2537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−55k</w:t>
            </w:r>
          </w:p>
        </w:tc>
        <w:tc>
          <w:tcPr>
            <w:tcW w:type="dxa" w:w="2537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−215k</w:t>
            </w:r>
          </w:p>
        </w:tc>
      </w:tr>
      <w:tr>
        <w:tc>
          <w:tcPr>
            <w:tcW w:type="dxa" w:w="2537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100%</w:t>
            </w:r>
          </w:p>
        </w:tc>
        <w:tc>
          <w:tcPr>
            <w:tcW w:type="dxa" w:w="2537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+25k</w:t>
            </w:r>
          </w:p>
        </w:tc>
        <w:tc>
          <w:tcPr>
            <w:tcW w:type="dxa" w:w="2537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−175k</w:t>
            </w:r>
          </w:p>
        </w:tc>
        <w:tc>
          <w:tcPr>
            <w:tcW w:type="dxa" w:w="2537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−375k</w:t>
            </w:r>
          </w:p>
        </w:tc>
      </w:tr>
    </w:tbl>
    <w:p>
      <w:r>
        <w:rPr>
          <w:rFonts w:ascii="Plus Jakarta Sans" w:hAnsi="Plus Jakarta Sans" w:eastAsia="Plus Jakarta Sans"/>
          <w:b w:val="0"/>
          <w:sz w:val="18"/>
        </w:rPr>
        <w:t>Con costo incremental de 30%, la redención máxima soportada es 70,83%; exige al menos 29,17% de breakage solo para saldo cero, aún antes de opex:</w:t>
      </w:r>
    </w:p>
    <w:p>
      <w:pPr>
        <w:shd w:fill="142033"/>
      </w:pPr>
      <w:r>
        <w:rPr>
          <w:rFonts w:ascii="Plus Jakarta Sans" w:hAnsi="Plus Jakarta Sans" w:eastAsia="Plus Jakarta Sans"/>
          <w:b w:val="0"/>
          <w:color w:val="FFFFFF"/>
          <w:sz w:val="16"/>
        </w:rPr>
        <w:t>Breakage mínimo = 1 − (425.000 / (2.000.000 × 0,30)) = 29,17%</w:t>
      </w:r>
    </w:p>
    <w:p>
      <w:r>
        <w:rPr>
          <w:rFonts w:ascii="Plus Jakarta Sans" w:hAnsi="Plus Jakarta Sans" w:eastAsia="Plus Jakarta Sans"/>
          <w:b w:val="0"/>
          <w:sz w:val="18"/>
        </w:rPr>
        <w:t>El reloj de 30 días tampoco se traslada a Zonix: 200 membresías exigirían 6,7 cierres/día calendario o 10 por día laboral; con conversión de 10% serían 2.000 prospectos y con 5%, 4.000.</w:t>
      </w:r>
    </w:p>
    <w:p>
      <w:r>
        <w:rPr>
          <w:rFonts w:ascii="Plus Jakarta Sans" w:hAnsi="Plus Jakarta Sans" w:eastAsia="Plus Jakarta Sans"/>
          <w:sz w:val="18"/>
        </w:rPr>
        <w:t>El breakage puede ayudar solo con historial y tratamiento contable; no se inventa como margen. Un escenario S2 Zonix debe reportar caja cobrada, pasivo contractual, reserva, revenue reconocido, margen y cash usable por separado.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A.5 Equity y retorno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Si 35k compraran 8%, la valoración post-money implícita sería 437,5k; contradice el precio de 1,75M.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diálogo presenta los 35k como reembolsables: funcionan más como garantía/préstamo temporal, mientras el 8% sería compensación.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Sin vesting, cliff, recompra y límite de pool, cuatro o cinco operadores podrían diluir 32–40% y conservar derecho a reembolso.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top"/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4"/>
              </w:rPr>
              <w:t>Operadores</w:t>
            </w:r>
          </w:p>
        </w:tc>
        <w:tc>
          <w:tcPr>
            <w:tcW w:type="dxa" w:w="3383"/>
            <w:vAlign w:val="top"/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4"/>
              </w:rPr>
              <w:t>Equity prometido</w:t>
            </w:r>
          </w:p>
        </w:tc>
        <w:tc>
          <w:tcPr>
            <w:tcW w:type="dxa" w:w="3383"/>
            <w:vAlign w:val="top"/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4"/>
              </w:rPr>
              <w:t>Garantías reembolsables</w:t>
            </w:r>
          </w:p>
        </w:tc>
      </w:tr>
      <w:tr>
        <w:tc>
          <w:tcPr>
            <w:tcW w:type="dxa" w:w="3383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1</w:t>
            </w:r>
          </w:p>
        </w:tc>
        <w:tc>
          <w:tcPr>
            <w:tcW w:type="dxa" w:w="3383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8%</w:t>
            </w:r>
          </w:p>
        </w:tc>
        <w:tc>
          <w:tcPr>
            <w:tcW w:type="dxa" w:w="3383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35k</w:t>
            </w:r>
          </w:p>
        </w:tc>
      </w:tr>
      <w:tr>
        <w:tc>
          <w:tcPr>
            <w:tcW w:type="dxa" w:w="3383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4</w:t>
            </w:r>
          </w:p>
        </w:tc>
        <w:tc>
          <w:tcPr>
            <w:tcW w:type="dxa" w:w="3383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32%</w:t>
            </w:r>
          </w:p>
        </w:tc>
        <w:tc>
          <w:tcPr>
            <w:tcW w:type="dxa" w:w="3383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140k</w:t>
            </w:r>
          </w:p>
        </w:tc>
      </w:tr>
      <w:tr>
        <w:tc>
          <w:tcPr>
            <w:tcW w:type="dxa" w:w="3383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5</w:t>
            </w:r>
          </w:p>
        </w:tc>
        <w:tc>
          <w:tcPr>
            <w:tcW w:type="dxa" w:w="3383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40%</w:t>
            </w:r>
          </w:p>
        </w:tc>
        <w:tc>
          <w:tcPr>
            <w:tcW w:type="dxa" w:w="3383"/>
            <w:vAlign w:val="top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175k</w:t>
            </w:r>
          </w:p>
        </w:tc>
      </w:tr>
      <w:tr>
        <w:tc>
          <w:tcPr>
            <w:tcW w:type="dxa" w:w="3383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10</w:t>
            </w:r>
          </w:p>
        </w:tc>
        <w:tc>
          <w:tcPr>
            <w:tcW w:type="dxa" w:w="3383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80%</w:t>
            </w:r>
          </w:p>
        </w:tc>
        <w:tc>
          <w:tcPr>
            <w:tcW w:type="dxa" w:w="3383"/>
            <w:vAlign w:val="top"/>
            <w:shd w:fill="F5F7FA"/>
          </w:tcPr>
          <w:p>
            <w:r>
              <w:rPr>
                <w:rFonts w:ascii="Plus Jakarta Sans" w:hAnsi="Plus Jakarta Sans" w:eastAsia="Plus Jakarta Sans"/>
                <w:b w:val="0"/>
                <w:sz w:val="14"/>
              </w:rPr>
              <w:t>350k</w:t>
            </w:r>
          </w:p>
        </w:tc>
      </w:tr>
    </w:tbl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Para flujos </w:t>
      </w:r>
      <w:r>
        <w:rPr>
          <w:rFonts w:ascii="Consolas" w:hAnsi="Consolas" w:eastAsia="Consolas"/>
          <w:color w:val="0F4C5C"/>
          <w:sz w:val="17"/>
        </w:rPr>
        <w:t>[-10k, +10k, +15k, +25k]</w:t>
      </w:r>
      <w:r>
        <w:rPr>
          <w:rFonts w:ascii="Plus Jakarta Sans" w:hAnsi="Plus Jakarta Sans" w:eastAsia="Plus Jakarta Sans"/>
          <w:sz w:val="18"/>
        </w:rPr>
        <w:t xml:space="preserve">, la TIR aproximada es </w:t>
      </w:r>
      <w:r>
        <w:rPr>
          <w:rFonts w:ascii="Plus Jakarta Sans" w:hAnsi="Plus Jakarta Sans" w:eastAsia="Plus Jakarta Sans"/>
          <w:b/>
          <w:color w:val="1E2A5A"/>
          <w:sz w:val="18"/>
        </w:rPr>
        <w:t>119,9% anual</w:t>
      </w:r>
      <w:r>
        <w:rPr>
          <w:rFonts w:ascii="Plus Jakarta Sans" w:hAnsi="Plus Jakarta Sans" w:eastAsia="Plus Jakarta Sans"/>
          <w:sz w:val="18"/>
        </w:rPr>
        <w:t>, no 122%.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Los pagos nominales acumulados de 200 miembros serían </w:t>
      </w:r>
      <w:r>
        <w:rPr>
          <w:rFonts w:ascii="Plus Jakarta Sans" w:hAnsi="Plus Jakarta Sans" w:eastAsia="Plus Jakarta Sans"/>
          <w:b/>
          <w:color w:val="1E2A5A"/>
          <w:sz w:val="18"/>
        </w:rPr>
        <w:t>10M</w:t>
      </w:r>
      <w:r>
        <w:rPr>
          <w:rFonts w:ascii="Plus Jakarta Sans" w:hAnsi="Plus Jakarta Sans" w:eastAsia="Plus Jakarta Sans"/>
          <w:sz w:val="18"/>
        </w:rPr>
        <w:t>, no 12M, si el primer 10k es el crédito inicial y no se vuelve a sumar.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Una TIR extrema es una alerta; no prueba fraude o Ponzi.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A.6 Contabilidad y regulación</w:t>
      </w:r>
    </w:p>
    <w:p>
      <w:pPr>
        <w:pStyle w:val="ListBullet"/>
      </w:pPr>
      <w:hyperlink r:id="rId25">
        <w:r>
          <w:rPr>
            <w:color w:val="0F4C5C"/>
            <w:u w:val="single"/>
            <w:rFonts w:ascii="Plus Jakarta Sans" w:hAnsi="Plus Jakarta Sans"/>
          </w:rPr>
          <w:t>IFRS 15 §106</w:t>
        </w:r>
      </w:hyperlink>
      <w:r>
        <w:rPr>
          <w:rFonts w:ascii="Plus Jakarta Sans" w:hAnsi="Plus Jakarta Sans" w:eastAsia="Plus Jakarta Sans"/>
          <w:sz w:val="18"/>
        </w:rPr>
        <w:t xml:space="preserve">: un pago recibido antes de transferir bienes/servicios se presenta como </w:t>
      </w:r>
      <w:r>
        <w:rPr>
          <w:rFonts w:ascii="Plus Jakarta Sans" w:hAnsi="Plus Jakarta Sans" w:eastAsia="Plus Jakarta Sans"/>
          <w:b/>
          <w:color w:val="1E2A5A"/>
          <w:sz w:val="18"/>
        </w:rPr>
        <w:t>contract liability</w:t>
      </w:r>
      <w:r>
        <w:rPr>
          <w:rFonts w:ascii="Plus Jakarta Sans" w:hAnsi="Plus Jakarta Sans" w:eastAsia="Plus Jakarta Sans"/>
          <w:sz w:val="18"/>
        </w:rPr>
        <w:t>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El breakage se reconoce conforme al patrón de uso o cuando sea remoto que el cliente ejerza el saldo.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Una obligación de entregar efectivo/profit share puede ser pasivo financiero bajo IAS 32 según contrato.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 xml:space="preserve">Howey/Edwards/Forman y </w:t>
      </w:r>
      <w:hyperlink r:id="rId26">
        <w:r>
          <w:rPr>
            <w:color w:val="0F4C5C"/>
            <w:u w:val="single"/>
            <w:rFonts w:ascii="Plus Jakarta Sans" w:hAnsi="Plus Jakarta Sans"/>
          </w:rPr>
          <w:t>Flyfish Club — SEC</w:t>
        </w:r>
      </w:hyperlink>
      <w:r>
        <w:rPr>
          <w:rFonts w:ascii="Plus Jakarta Sans" w:hAnsi="Plus Jakarta Sans" w:eastAsia="Plus Jakarta Sans"/>
          <w:sz w:val="18"/>
        </w:rPr>
        <w:t xml:space="preserve"> muestran riesgo cuando se vende expectativa de beneficio; no son dictamen automático para Venezuela.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SUNAVAL/SUNDDE y un abogado venezolano deben revisar oferta pública, publicidad y participación en ganancias (</w:t>
      </w:r>
      <w:r>
        <w:rPr>
          <w:rFonts w:ascii="Consolas" w:hAnsi="Consolas" w:eastAsia="Consolas"/>
          <w:color w:val="0F4C5C"/>
          <w:sz w:val="17"/>
        </w:rPr>
        <w:t>CAP-P05</w:t>
      </w:r>
      <w:r>
        <w:rPr>
          <w:rFonts w:ascii="Plus Jakarta Sans" w:hAnsi="Plus Jakarta Sans" w:eastAsia="Plus Jakarta Sans"/>
          <w:sz w:val="18"/>
        </w:rPr>
        <w:t xml:space="preserve">, </w:t>
      </w:r>
      <w:r>
        <w:rPr>
          <w:rFonts w:ascii="Consolas" w:hAnsi="Consolas" w:eastAsia="Consolas"/>
          <w:color w:val="0F4C5C"/>
          <w:sz w:val="17"/>
        </w:rPr>
        <w:t>CAP-P08</w:t>
      </w:r>
      <w:r>
        <w:rPr>
          <w:rFonts w:ascii="Plus Jakarta Sans" w:hAnsi="Plus Jakarta Sans" w:eastAsia="Plus Jakarta Sans"/>
          <w:sz w:val="18"/>
        </w:rPr>
        <w:t>).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A.7 Comparables que sí enseñan algo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Comparable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Qué valida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Qué no valida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7">
              <w:r>
                <w:rPr>
                  <w:color w:val="0F4C5C"/>
                  <w:u w:val="single"/>
                  <w:rFonts w:ascii="Plus Jakarta Sans" w:hAnsi="Plus Jakarta Sans"/>
                </w:rPr>
                <w:t>Customer-Funded Business — LBS</w:t>
              </w:r>
            </w:hyperlink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Pay-in-advance, suscripción y escasez operativa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Retornos garantizados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hyperlink r:id="rId28">
              <w:r>
                <w:rPr>
                  <w:color w:val="0F4C5C"/>
                  <w:u w:val="single"/>
                  <w:rFonts w:ascii="Plus Jakarta Sans" w:hAnsi="Plus Jakarta Sans"/>
                </w:rPr>
                <w:t>Starbucks FY2025 10-K</w:t>
              </w:r>
            </w:hyperlink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Float + deferred revenue (USD 1.751,7M)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Profit share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9">
              <w:r>
                <w:rPr>
                  <w:color w:val="0F4C5C"/>
                  <w:u w:val="single"/>
                  <w:rFonts w:ascii="Plus Jakarta Sans" w:hAnsi="Plus Jakarta Sans"/>
                </w:rPr>
                <w:t>Costco FY2025</w:t>
              </w:r>
            </w:hyperlink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Membresía de consumo recurrente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Crédito total reembolsable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hyperlink r:id="rId30">
              <w:r>
                <w:rPr>
                  <w:color w:val="0F4C5C"/>
                  <w:u w:val="single"/>
                  <w:rFonts w:ascii="Plus Jakarta Sans" w:hAnsi="Plus Jakarta Sans"/>
                </w:rPr>
                <w:t>Smoke &amp; Mirrors</w:t>
              </w:r>
            </w:hyperlink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Prepago F&amp;B sin retorno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Financiar públicamente una adquisición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31">
              <w:r>
                <w:rPr>
                  <w:color w:val="0F4C5C"/>
                  <w:u w:val="single"/>
                  <w:rFonts w:ascii="Plus Jakarta Sans" w:hAnsi="Plus Jakarta Sans"/>
                </w:rPr>
                <w:t>Bell Inn Bath</w:t>
              </w:r>
            </w:hyperlink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Comunidad financia con cooperativa formal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Camuflar equity como membresía</w:t>
            </w:r>
          </w:p>
        </w:tc>
      </w:tr>
      <w:tr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Flyfish Club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Riesgo de comercializar membresías con upside</w:t>
            </w:r>
          </w:p>
        </w:tc>
        <w:tc>
          <w:tcPr>
            <w:tcW w:type="dxa" w:w="33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Validación del modelo</w:t>
            </w:r>
          </w:p>
        </w:tc>
      </w:tr>
    </w:tbl>
    <w:p/>
    <w:p>
      <w:r>
        <w:rPr>
          <w:rFonts w:ascii="Plus Jakarta Sans" w:hAnsi="Plus Jakarta Sans" w:eastAsia="Plus Jakarta Sans"/>
          <w:b/>
          <w:color w:val="1E2A5A"/>
          <w:sz w:val="18"/>
        </w:rPr>
        <w:t>Aplicación Zonix:</w:t>
      </w:r>
      <w:r>
        <w:rPr>
          <w:rFonts w:ascii="Plus Jakarta Sans" w:hAnsi="Plus Jakarta Sans" w:eastAsia="Plus Jakarta Sans"/>
          <w:sz w:val="18"/>
        </w:rPr>
        <w:t xml:space="preserve"> consumo, servicios reales, cohortes por capacidad y reconocimiento diferido. </w:t>
      </w:r>
      <w:r>
        <w:rPr>
          <w:rFonts w:ascii="Plus Jakarta Sans" w:hAnsi="Plus Jakarta Sans" w:eastAsia="Plus Jakarta Sans"/>
          <w:b/>
          <w:color w:val="1E2A5A"/>
          <w:sz w:val="18"/>
        </w:rPr>
        <w:t>Fuera:</w:t>
      </w:r>
      <w:r>
        <w:rPr>
          <w:rFonts w:ascii="Plus Jakarta Sans" w:hAnsi="Plus Jakarta Sans" w:eastAsia="Plus Jakarta Sans"/>
          <w:sz w:val="18"/>
        </w:rPr>
        <w:t xml:space="preserve"> profit share, recuperación de cuota, garantía 35k, 8% a operadores, fondos de pacientes y retorno 10/15/25k.</w:t>
      </w:r>
    </w:p>
    <w:p>
      <w:pPr>
        <w:pBdr>
          <w:bottom w:val="single" w:sz="6" w:color="C7CFD9"/>
        </w:pBdr>
      </w:pP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Anexo B — Evidencia del video Kleo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B.1 Identificación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Reel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3">
              <w:r>
                <w:rPr>
                  <w:color w:val="0F4C5C"/>
                  <w:u w:val="single"/>
                  <w:rFonts w:ascii="Plus Jakarta Sans" w:hAnsi="Plus Jakarta Sans"/>
                </w:rPr>
                <w:t>Instagram DYHjRnHPZLB</w:t>
              </w:r>
            </w:hyperlink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Autor de la pieza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@nivedan.ai; no Rob Hoffman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Naturaleza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Anuncio Miro / lead magnet (</w:t>
            </w:r>
            <w:r>
              <w:rPr>
                <w:rFonts w:ascii="Consolas" w:hAnsi="Consolas" w:eastAsia="Consolas"/>
                <w:color w:val="0F4C5C"/>
                <w:sz w:val="14"/>
              </w:rPr>
              <w:t>#ad</w:t>
            </w:r>
            <w:r>
              <w:rPr>
                <w:rFonts w:ascii="Plus Jakarta Sans" w:hAnsi="Plus Jakarta Sans" w:eastAsia="Plus Jakarta Sans"/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0F4C5C"/>
                <w:sz w:val="14"/>
              </w:rPr>
              <w:t>#MiroPartner</w:t>
            </w:r>
            <w:r>
              <w:rPr>
                <w:rFonts w:ascii="Plus Jakarta Sans" w:hAnsi="Plus Jakarta Sans" w:eastAsia="Plus Jakarta Sans"/>
                <w:sz w:val="15"/>
              </w:rPr>
              <w:t>)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Duración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~1:26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Método narrado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Cuatro fases de waitlist/cohorte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B-roll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Tablero con seis playbooks; no es el contenido literal del audio</w:t>
            </w:r>
          </w:p>
        </w:tc>
      </w:tr>
    </w:tbl>
    <w:p/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B.2 Claims y reconciliación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Claim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E2A5A"/>
          </w:tcPr>
          <w:p>
            <w:r>
              <w:rPr>
                <w:rFonts w:ascii="Plus Jakarta Sans" w:hAnsi="Plus Jakarta Sans" w:eastAsia="Plus Jakarta Sans"/>
                <w:b/>
                <w:color w:val="FFFFFF"/>
                <w:sz w:val="15"/>
              </w:rPr>
              <w:t>Corrección / límite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61k MRR / 53 días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Claim del founder; otras fuentes dicen 62k / 3 meses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12k waitlist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Fuentes del equipo varían 10–20k+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500 × USD 59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29,5k; compatible con «~30k en 4 días»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segunda tanda 500 × USD 79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39,5k; total teórico 69k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USD 59 lifetime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 xml:space="preserve">Fuentes cercanas describen USD 59 </w:t>
            </w:r>
            <w:r>
              <w:rPr>
                <w:rFonts w:ascii="Plus Jakarta Sans" w:hAnsi="Plus Jakarta Sans" w:eastAsia="Plus Jakarta Sans"/>
                <w:b/>
                <w:color w:val="1E2A5A"/>
                <w:sz w:val="15"/>
              </w:rPr>
              <w:t>por mes</w:t>
            </w:r>
            <w:r>
              <w:rPr>
                <w:rFonts w:ascii="Plus Jakarta Sans" w:hAnsi="Plus Jakarta Sans" w:eastAsia="Plus Jakarta Sans"/>
                <w:sz w:val="15"/>
              </w:rPr>
              <w:t xml:space="preserve"> con precio bloqueado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«antes de existir»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7FA"/>
          </w:tcPr>
          <w:p>
            <w:r>
              <w:rPr>
                <w:rFonts w:ascii="Plus Jakarta Sans" w:hAnsi="Plus Jakarta Sans" w:eastAsia="Plus Jakarta Sans"/>
                <w:sz w:val="15"/>
              </w:rPr>
              <w:t>Kleo 1.0 ya reportaba ~60–70k usuarios</w:t>
            </w:r>
          </w:p>
        </w:tc>
      </w:tr>
      <w:tr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crecimiento orgánico desde cero</w:t>
            </w:r>
          </w:p>
        </w:tc>
        <w:tc>
          <w:tcPr>
            <w:tcW w:type="dxa" w:w="50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Plus Jakarta Sans" w:hAnsi="Plus Jakarta Sans" w:eastAsia="Plus Jakarta Sans"/>
                <w:sz w:val="15"/>
              </w:rPr>
              <w:t>Jake ~180k y Lara ~300k seguidores; distribución previa</w:t>
            </w:r>
          </w:p>
        </w:tc>
      </w:tr>
    </w:tbl>
    <w:p/>
    <w:p>
      <w:r>
        <w:rPr>
          <w:rFonts w:ascii="Plus Jakarta Sans" w:hAnsi="Plus Jakarta Sans" w:eastAsia="Plus Jakarta Sans"/>
          <w:sz w:val="18"/>
        </w:rPr>
        <w:t xml:space="preserve">El caso sirve como </w:t>
      </w:r>
      <w:r>
        <w:rPr>
          <w:rFonts w:ascii="Plus Jakarta Sans" w:hAnsi="Plus Jakarta Sans" w:eastAsia="Plus Jakarta Sans"/>
          <w:b/>
          <w:color w:val="1E2A5A"/>
          <w:sz w:val="18"/>
        </w:rPr>
        <w:t>mecanismo de aprendizaje</w:t>
      </w:r>
      <w:r>
        <w:rPr>
          <w:rFonts w:ascii="Plus Jakarta Sans" w:hAnsi="Plus Jakarta Sans" w:eastAsia="Plus Jakarta Sans"/>
          <w:sz w:val="18"/>
        </w:rPr>
        <w:t>, no como benchmark de ventas, tiempo o pricing. Pre-launch significa acceso restringido mientras se vende/usa, no ausencia de producto o ingresos.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B.3 Fuentes y límites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Reel/ASR: fuente de las cuatro fases; no de los seis playbooks.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Podcast Rob Hoffman + Greg Isenberg (</w:t>
      </w:r>
      <w:r>
        <w:rPr>
          <w:rFonts w:ascii="Consolas" w:hAnsi="Consolas" w:eastAsia="Consolas"/>
          <w:color w:val="0F4C5C"/>
          <w:sz w:val="17"/>
        </w:rPr>
        <w:t>youtu.be/rO3dIBMXD2g</w:t>
      </w:r>
      <w:r>
        <w:rPr>
          <w:rFonts w:ascii="Plus Jakarta Sans" w:hAnsi="Plus Jakarta Sans" w:eastAsia="Plus Jakarta Sans"/>
          <w:sz w:val="18"/>
        </w:rPr>
        <w:t>): claims del equipo y catálogo de seis estrategias; no auditoría.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Indie Hackers / Cam Trew: audiencia previa, Kleo 1.0, USD 59/mes y reloj de tres meses; URL exacta pendiente de normalización.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Modash: fecha/duración/métricas del reel; no demuestra eficacia.</w:t>
      </w:r>
    </w:p>
    <w:p>
      <w:pPr>
        <w:pStyle w:val="ListBullet"/>
      </w:pPr>
      <w:r>
        <w:rPr>
          <w:rFonts w:ascii="Plus Jakarta Sans" w:hAnsi="Plus Jakarta Sans" w:eastAsia="Plus Jakarta Sans"/>
          <w:sz w:val="18"/>
        </w:rPr>
        <w:t>Goal Group, HeyCatch, HN repost y Justia Ley de Medicamentos: no usar como prueba externa del método.</w:t>
      </w:r>
    </w:p>
    <w:p>
      <w:pPr>
        <w:pStyle w:val="Heading2"/>
        <w:keepNext/>
      </w:pPr>
      <w:r>
        <w:rPr>
          <w:rFonts w:ascii="Plus Jakarta Sans" w:hAnsi="Plus Jakarta Sans" w:eastAsia="Plus Jakarta Sans"/>
          <w:sz w:val="28"/>
        </w:rPr>
        <w:t>B.4 Decisión Zonix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Adoptado:</w:t>
      </w:r>
      <w:r>
        <w:rPr>
          <w:rFonts w:ascii="Plus Jakarta Sans" w:hAnsi="Plus Jakarta Sans" w:eastAsia="Plus Jakarta Sans"/>
          <w:sz w:val="18"/>
        </w:rPr>
        <w:t xml:space="preserve"> problema B2B → señal cualificada → hasta 10 pruebas → uso medido → Beta si es repetible. </w:t>
      </w:r>
      <w:r>
        <w:rPr>
          <w:rFonts w:ascii="Plus Jakarta Sans" w:hAnsi="Plus Jakarta Sans" w:eastAsia="Plus Jakarta Sans"/>
          <w:b/>
          <w:color w:val="1E2A5A"/>
          <w:sz w:val="18"/>
        </w:rPr>
        <w:t>No adoptado:</w:t>
      </w:r>
      <w:r>
        <w:rPr>
          <w:rFonts w:ascii="Plus Jakarta Sans" w:hAnsi="Plus Jakarta Sans" w:eastAsia="Plus Jakarta Sans"/>
          <w:sz w:val="18"/>
        </w:rPr>
        <w:t xml:space="preserve"> waitlist paciente, FOMO, lifetime, subida automática de precios, 61k, seis playbooks, ads high-ticket, formulario público de SAFE y cualquier feature waitlist.</w:t>
      </w:r>
    </w:p>
    <w:p>
      <w:pPr>
        <w:pBdr>
          <w:bottom w:val="single" w:sz="6" w:color="C7CFD9"/>
        </w:pBdr>
      </w:pPr>
    </w:p>
    <w:p>
      <w:r>
        <w:br w:type="page"/>
      </w:r>
    </w:p>
    <w:p>
      <w:pPr>
        <w:pStyle w:val="Heading1"/>
        <w:keepNext/>
        <w:spacing w:after="200"/>
      </w:pPr>
      <w:r>
        <w:rPr>
          <w:rFonts w:ascii="Plus Jakarta Sans" w:hAnsi="Plus Jakarta Sans" w:eastAsia="Plus Jakarta Sans"/>
          <w:sz w:val="40"/>
        </w:rPr>
        <w:t>Anexo C — Trazabilidad de la consolidación</w:t>
      </w:r>
    </w:p>
    <w:p>
      <w:r>
        <w:rPr>
          <w:rFonts w:ascii="Plus Jakarta Sans" w:hAnsi="Plus Jakarta Sans" w:eastAsia="Plus Jakarta Sans"/>
          <w:sz w:val="18"/>
        </w:rPr>
        <w:t>Este documento absorbió y reemplaza: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plan comparativo Alfa/Beta/Gamma/Delta del 20 agosto 2026;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forense del método Kleo / EXT-004;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forense del reel Café / INT-001 y contrastes EXT-001–003;</w:t>
      </w:r>
    </w:p>
    <w:p>
      <w:pPr>
        <w:pStyle w:val="ListNumber"/>
      </w:pPr>
      <w:r>
        <w:rPr>
          <w:rFonts w:ascii="Plus Jakarta Sans" w:hAnsi="Plus Jakarta Sans" w:eastAsia="Plus Jakarta Sans"/>
          <w:sz w:val="18"/>
        </w:rPr>
        <w:t>visor visual Café + Kleo del 21 agosto 2026.</w:t>
      </w:r>
    </w:p>
    <w:p>
      <w:r>
        <w:rPr>
          <w:rFonts w:ascii="Plus Jakarta Sans" w:hAnsi="Plus Jakarta Sans" w:eastAsia="Plus Jakarta Sans"/>
          <w:sz w:val="18"/>
        </w:rPr>
        <w:t>Se conservaron las decisiones, cifras, fórmulas, límites de fuentes y guardrails. Se eliminaron narración duplicada, prompts de investigación, listados de archivos temporales, transcripción extensa y descripciones audiovisuales sin efecto sobre el plan.</w:t>
      </w:r>
    </w:p>
    <w:p>
      <w:r>
        <w:rPr>
          <w:rFonts w:ascii="Plus Jakarta Sans" w:hAnsi="Plus Jakarta Sans" w:eastAsia="Plus Jakarta Sans"/>
          <w:b/>
          <w:color w:val="1E2A5A"/>
          <w:sz w:val="18"/>
        </w:rPr>
        <w:t>Regla de precedencia:</w:t>
      </w:r>
      <w:r>
        <w:rPr>
          <w:rFonts w:ascii="Plus Jakarta Sans" w:hAnsi="Plus Jakarta Sans" w:eastAsia="Plus Jakarta Sans"/>
          <w:sz w:val="18"/>
        </w:rPr>
        <w:t xml:space="preserve"> si una cifra externa contradice el canon del encabezado o </w:t>
      </w:r>
      <w:hyperlink r:id="rId21">
        <w:r>
          <w:rPr>
            <w:color w:val="0F4C5C"/>
            <w:u w:val="single"/>
            <w:rFonts w:ascii="Plus Jakarta Sans" w:hAnsi="Plus Jakarta Sans"/>
          </w:rPr>
          <w:t>README.md</w:t>
        </w:r>
      </w:hyperlink>
      <w:r>
        <w:rPr>
          <w:rFonts w:ascii="Plus Jakarta Sans" w:hAnsi="Plus Jakarta Sans" w:eastAsia="Plus Jakarta Sans"/>
          <w:sz w:val="18"/>
        </w:rPr>
        <w:t>, rige el pack vigente hasta decisión founder versionada.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79" w:bottom="102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lus Jakarta Sans" w:hAnsi="Plus Jakarta Sans" w:eastAsia="Plus Jakarta Sans"/>
        <w:color w:val="6B7785"/>
        <w:sz w:val="15"/>
      </w:rPr>
      <w:t xml:space="preserve">Documento interno  ·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lus Jakarta Sans" w:hAnsi="Plus Jakarta Sans" w:eastAsia="Plus Jakarta Sans"/>
        <w:b/>
        <w:color w:val="0F4C5C"/>
        <w:sz w:val="15"/>
      </w:rPr>
      <w:t>ZONIX PHARMA · PLAN UNIFICADO DE CAPTACIÓN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 w:eastAsia="Plus Jakarta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lus Jakarta Sans" w:hAnsi="Plus Jakarta Sans" w:eastAsia="Plus Jakarta Sans"/>
      <w:b/>
      <w:bCs/>
      <w:color w:val="1E2A5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lus Jakarta Sans" w:hAnsi="Plus Jakarta Sans" w:eastAsia="Plus Jakarta Sans"/>
      <w:b/>
      <w:bCs/>
      <w:color w:val="0F4C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lus Jakarta Sans" w:hAnsi="Plus Jakarta Sans" w:eastAsia="Plus Jakarta Sans"/>
      <w:b/>
      <w:bCs/>
      <w:color w:val="1E2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lus Jakarta Sans" w:hAnsi="Plus Jakarta Sans" w:eastAsia="Plus Jakarta Sans"/>
      <w:b/>
      <w:color w:val="FFFFF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#anexo-a--evidencia-del-video-caf&#233;" TargetMode="External"/><Relationship Id="rId13" Type="http://schemas.openxmlformats.org/officeDocument/2006/relationships/hyperlink" Target="https://www.instagram.com/reels/DYHjRnHPZLB/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ESTRUCTURA_LEGAL_Y_EQUITY.md" TargetMode="External"/><Relationship Id="rId17" Type="http://schemas.openxmlformats.org/officeDocument/2006/relationships/hyperlink" Target="PROPUESTA_VALOR_CLIENTE_B2B.md" TargetMode="External"/><Relationship Id="rId18" Type="http://schemas.openxmlformats.org/officeDocument/2006/relationships/image" Target="media/image4.png"/><Relationship Id="rId19" Type="http://schemas.openxmlformats.org/officeDocument/2006/relationships/hyperlink" Target="PLAN_LANZAMIENTO_COMERCIAL.md" TargetMode="External"/><Relationship Id="rId20" Type="http://schemas.openxmlformats.org/officeDocument/2006/relationships/image" Target="media/image5.png"/><Relationship Id="rId21" Type="http://schemas.openxmlformats.org/officeDocument/2006/relationships/hyperlink" Target="README.md" TargetMode="External"/><Relationship Id="rId22" Type="http://schemas.openxmlformats.org/officeDocument/2006/relationships/hyperlink" Target="PROPUESTA_VALOR_TERCER_LADO.md" TargetMode="External"/><Relationship Id="rId23" Type="http://schemas.openxmlformats.org/officeDocument/2006/relationships/hyperlink" Target="PLAN_METODOS_PAGO.md" TargetMode="External"/><Relationship Id="rId24" Type="http://schemas.openxmlformats.org/officeDocument/2006/relationships/hyperlink" Target="https://www.facebook.com/reel/2087986695439858" TargetMode="External"/><Relationship Id="rId25" Type="http://schemas.openxmlformats.org/officeDocument/2006/relationships/hyperlink" Target="https://www.ifrs.org/content/dam/ifrs/publications/html-standards/english/2025/issued/ifrs15.html" TargetMode="External"/><Relationship Id="rId26" Type="http://schemas.openxmlformats.org/officeDocument/2006/relationships/hyperlink" Target="https://www.sec.gov/enforcement-litigation/administrative-proceedings/33-11305-s" TargetMode="External"/><Relationship Id="rId27" Type="http://schemas.openxmlformats.org/officeDocument/2006/relationships/hyperlink" Target="https://www.london.edu/news/the-customer-funded-business" TargetMode="External"/><Relationship Id="rId28" Type="http://schemas.openxmlformats.org/officeDocument/2006/relationships/hyperlink" Target="https://www.sec.gov/Archives/edgar/data/829224/000082922425000114/sbux-20250928.htm" TargetMode="External"/><Relationship Id="rId29" Type="http://schemas.openxmlformats.org/officeDocument/2006/relationships/hyperlink" Target="https://investor.costco.com/news/news-details/2025/Costco-Wholesale-Corporation-Reports-Fourth-Quarter-and-Fiscal-Year-2025-Operating-Results/default.aspx" TargetMode="External"/><Relationship Id="rId30" Type="http://schemas.openxmlformats.org/officeDocument/2006/relationships/hyperlink" Target="https://slshotels.com/es/dubai/restaurants-and-bars/smoke-and-mirrors/membership/" TargetMode="External"/><Relationship Id="rId31" Type="http://schemas.openxmlformats.org/officeDocument/2006/relationships/hyperlink" Target="https://thebellinnbath.co.uk/sha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unificado de captación — Zonix Pharma</dc:title>
  <dc:subject>Inversionistas, farmacias y socios · Café + Kleo</dc:subject>
  <dc:creator>Zonix Pharma / JARVIS</dc:creator>
  <cp:keywords/>
  <dc:description>Documento interno; Markdown es la fuente canónica.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