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EUDR Management Summary</w:t>
      </w:r>
    </w:p>
    <w:p>
      <w:pPr>
        <w:pStyle w:val="Subtitle"/>
      </w:pPr>
      <w:r>
        <w:t>Green House Sourcing OMS</w:t>
      </w:r>
    </w:p>
    <w:p>
      <w:r>
        <w:t>Current workflow and work completed as of 12 October 2026</w:t>
      </w:r>
    </w:p>
    <w:p>
      <w:r>
        <w:t>We use EUDR management to record and manually verify where a container’s timber came from, who sold and transported it, and who received it. The rebuilt module connects forest and sawmill evidence to the shipping vendor and reconciles verified timber contributions against stuffed CFT. It supports traceability and evidence review; it does not automatically certify regulatory compliance.</w:t>
      </w:r>
    </w:p>
    <w:p>
      <w:pPr>
        <w:pStyle w:val="Heading1"/>
      </w:pPr>
      <w:r>
        <w:t>How we use the module</w:t>
      </w:r>
    </w:p>
    <w:p>
      <w:pPr>
        <w:pStyle w:val="Heading2"/>
      </w:pPr>
      <w:r>
        <w:t>1 Select the container and allocate timber</w:t>
      </w:r>
    </w:p>
    <w:p>
      <w:r>
        <w:t>Admins, super admins and managers access the full-width EUDR page from the menu. Shipments are grouped by shipping vendor, which must have both GST and PAN. The declared total must match calculated stuffed CFT before a chain can start. Each chain has its own positive CFT contribution, allowing several purchases to cover one container and vendor.</w:t>
      </w:r>
    </w:p>
    <w:p>
      <w:r>
        <w:t>Example: 17.600 CFT stuffed and declared can be covered by contributions of 10.000 and 7.600 CFT. An invoice may cover more timber, but only its allocated contribution counts. Allocation cannot exceed the required total; coverage is complete only when verified contributions exactly cover it.</w:t>
      </w:r>
    </w:p>
    <w:p>
      <w:pPr>
        <w:pStyle w:val="Heading2"/>
      </w:pPr>
      <w:r>
        <w:t>2 Record the sawmill and forest origin</w:t>
      </w:r>
    </w:p>
    <w:p>
      <w:r>
        <w:t>Enter sawmill name, GST, PAN, permission number, forest latitude and longitude, Sawmill Sale Invoice number and date, buyer identity and Sold CFT. Cutting limit is optional. Upload the sale invoice, sawmill licence, permission evidence, forest image, buyer GST certificate and buyer PAN evidence. Coordinates and a valid PNG, JPEG or WebP forest image are mandatory.</w:t>
      </w:r>
    </w:p>
    <w:p>
      <w:r>
        <w:t>Sold To can be an existing vendor, which autofills name, GST and PAN, or another party whose details can be saved and selected later. Sold CFT must be positive, use at most three decimals and cover this chain’s contribution.</w:t>
      </w:r>
    </w:p>
    <w:p>
      <w:pPr>
        <w:pStyle w:val="Heading2"/>
      </w:pPr>
      <w:r>
        <w:t>3 Verify transport and receipt</w:t>
      </w:r>
    </w:p>
    <w:p>
      <w:r>
        <w:t>After sawmill verification, record transporter name, truck number, driver licence number, E-way bill number and Billty number. Upload weight slip, driver licence, E-way bill and Billty. Transporter GST and truck registration number are optional; entering a registration number makes its registration file mandatory.</w:t>
      </w:r>
    </w:p>
    <w:p>
      <w:r>
        <w:t>After transport verification, the receiver inherits the preceding seller’s buyer identity and incoming invoice reference. Enter actual Received CFT explicitly. If both normalized GST and PAN match the shipping vendor, proceed to declaration. Otherwise, record the receiver’s onward buyer, Sold CFT, sale invoice and buyer evidence, then repeat transport and receipt. Receipt differences are recorded without blocking the next leg.</w:t>
      </w:r>
    </w:p>
    <w:p>
      <w:pPr>
        <w:pStyle w:val="Heading2"/>
      </w:pPr>
      <w:r>
        <w:t>4 Complete the declaration</w:t>
      </w:r>
    </w:p>
    <w:p>
      <w:r>
        <w:t>Upload and manually verify a declaration for each chain. Every later step remains locked until its preceding step is complete and verified. Final checks include CFT reconciliation and the shipping-vendor identity match; separate chains remain visible until the vendor’s full stuffed quantity is covered.</w:t>
      </w:r>
    </w:p>
    <w:p>
      <w:r>
        <w:br w:type="page"/>
      </w:r>
    </w:p>
    <w:p>
      <w:pPr>
        <w:pStyle w:val="Heading1"/>
      </w:pPr>
      <w:r>
        <w:t>What we have implemented so far</w:t>
      </w:r>
    </w:p>
    <w:p>
      <w:pPr>
        <w:pStyle w:val="ListBullet"/>
        <w:spacing w:after="100"/>
      </w:pPr>
      <w:r>
        <w:t>Replaced the earlier purchase-document-only approach with container and vendor traceability chains, repeated transport and receiver legs, gated manual verification, and a final declaration.</w:t>
      </w:r>
    </w:p>
    <w:p>
      <w:pPr>
        <w:pStyle w:val="ListBullet"/>
        <w:spacing w:after="100"/>
      </w:pPr>
      <w:r>
        <w:t>Added optional per-unit Timber_CFT to items and samples. Item CFT is maintained through the PIS modal. Stuffed CFT uses shipped quantity times per-unit CFT, with line totals rounded to three decimals. The Shipments page now shows line and total stuffed CFT alongside CBM.</w:t>
      </w:r>
    </w:p>
    <w:p>
      <w:pPr>
        <w:pStyle w:val="ListBullet"/>
        <w:spacing w:after="100"/>
      </w:pPr>
      <w:r>
        <w:t>Added vendor GST and PAN, both-identifier receiver matching, declared-CFT checks before starting a chain, explicit chain contributions, partial-coverage indicators and safeguards against over-allocation.</w:t>
      </w:r>
    </w:p>
    <w:p>
      <w:pPr>
        <w:pStyle w:val="ListBullet"/>
        <w:spacing w:after="100"/>
      </w:pPr>
      <w:r>
        <w:t>Added mandatory forest coordinates and forest-image evidence, sawmill permission upload, buyer identity and evidence, onward sales, and the Sawmill Sale Invoice labels while preserving existing invoice data and attachments.</w:t>
      </w:r>
    </w:p>
    <w:p>
      <w:pPr>
        <w:pStyle w:val="ListBullet"/>
        <w:spacing w:after="100"/>
      </w:pPr>
      <w:r>
        <w:t>Added reusable sawmill, transporter, other-party, vehicle and driver details. Transaction numbers, dates, quantities and transaction evidence stay fresh. Saved licences and vehicle or driver evidence require confirmation before reuse; directory updates never rewrite historical chain snapshots.</w:t>
      </w:r>
    </w:p>
    <w:p>
      <w:pPr>
        <w:pStyle w:val="ListBullet"/>
        <w:spacing w:after="100"/>
      </w:pPr>
      <w:r>
        <w:t>Prevented duplicate files within a chain using normalized filenames and SHA-256 content hashes, including renamed copies. Server-side invoice uniqueness uses issuer GST, normalized invoice number and Indian financial year from the invoice date. Linked incoming invoices are not uploaded, registered or counted a second time.</w:t>
      </w:r>
    </w:p>
    <w:p>
      <w:pPr>
        <w:pStyle w:val="ListBullet"/>
        <w:spacing w:after="100"/>
      </w:pPr>
      <w:r>
        <w:t>Added a consolidated chain review and All Documents workspace with private viewing and original downloads, galleries, page navigation, zoom and metadata comparison. Supported previews cover PNG, JPEG, WebP, PDF, DOC, DOCX, XLS, XLSX, CSV and TXT. Office previews are converted to PDF; executable and macro-enabled formats are rejected.</w:t>
      </w:r>
    </w:p>
    <w:p>
      <w:pPr>
        <w:pStyle w:val="ListBullet"/>
        <w:spacing w:after="100"/>
      </w:pPr>
      <w:r>
        <w:t>Fixed the deployed PDF worker asset approach and file-selection clearing issue. Added controlled Office conversion, preview error and retry handling, and authorized file endpoints without changing verification status when documents are viewed.</w:t>
      </w:r>
    </w:p>
    <w:p>
      <w:pPr>
        <w:pStyle w:val="ListBullet"/>
        <w:spacing w:after="100"/>
      </w:pPr>
      <w:r>
        <w:t>Recorded verification user, time, result and manual method. Editing a stage revokes its verification and downstream approvals while preserving audit history. Contribution changes revoke chain approvals; shipment or item-CFT changes invalidate final CFT verification, and vendor identifier changes invalidate the receiver match.</w:t>
      </w:r>
    </w:p>
    <w:p>
      <w:pPr>
        <w:pStyle w:val="Heading1"/>
      </w:pPr>
      <w:r>
        <w:t>Checks and remaining limits</w:t>
      </w:r>
    </w:p>
    <w:p>
      <w:r>
        <w:t>The latest recorded checks passed: backend 643 passed with 1 existing skip, frontend 43 passed, production build, and browser regression checks. Coverage includes ordered steps, repeated sales, multi-chain allocation, invoice collisions, file restrictions, previews, CFT rounding and invalidation. Production acceptance of the latest contribution and forest requirements remains a rollout check.</w:t>
      </w:r>
    </w:p>
    <w:p>
      <w:r>
        <w:t>Missing Timber_CFT lines are prominently shown but excluded from totals and do not block completion if the remaining total matches. This can understate timber coverage. Received-CFT differences also remain non-blocking. Office conversion may change layout, so originals remain authoritative.</w:t>
      </w:r>
    </w:p>
    <w:p>
      <w:r>
        <w:t>Verification is manual, including self-verification by authorized users. AI and OCR verification are not built. The old EUDR model is not migrated. Existing approvals remain valid until an affected stage is edited, when the new requirements apply.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EUDR Management Summary</dc:title>
  <dc:subject>Current workflow and implementation progress</dc:subject>
  <dc:creator>Green House Sourcing</dc:creator>
  <cp:keywords/>
  <dc:description>generated by python-docx</dc:description>
  <cp:lastModifiedBy/>
  <cp:revision>1</cp:revision>
  <dcterms:created xsi:type="dcterms:W3CDTF">2013-12-23T23:15:00Z</dcterms:created>
  <dcterms:modified xsi:type="dcterms:W3CDTF">2013-12-23T23:15:00Z</dcterms:modified>
  <cp:category/>
</cp:coreProperties>
</file>