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Brightwater Studio: AI use policy</w:t>
      </w:r>
    </w:p>
    <w:p>
      <w:r>
        <w:t>Version 1.0. Approved by Maya Okafor, managing director, on 21 March 2025. Owner: Daniel Reyes. Next review due: 21 September 2025.</w:t>
      </w:r>
    </w:p>
    <w:p>
      <w:pPr>
        <w:pStyle w:val="Heading1"/>
      </w:pPr>
      <w:r>
        <w:t>1. Purpose and scope</w:t>
      </w:r>
    </w:p>
    <w:p>
      <w:r>
        <w:t>This policy sets the rules for using artificial intelligence tools at Brightwater Studio. It applies to all 12 members of staff and to contractors. It covers Lantern, the studio's private assistant, and any other AI tool, whether or not the studio pays for it.</w:t>
      </w:r>
    </w:p>
    <w:p>
      <w:pPr>
        <w:pStyle w:val="Heading1"/>
      </w:pPr>
      <w:r>
        <w:t>2. Data classes</w:t>
      </w:r>
    </w:p>
    <w:p>
      <w:r>
        <w:t>Every piece of information belongs to one of three classes.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What it covers</w:t>
            </w:r>
          </w:p>
        </w:tc>
        <w:tc>
          <w:tcPr>
            <w:tcW w:type="dxa" w:w="2160"/>
          </w:tcPr>
          <w:p>
            <w:r>
              <w:rPr>
                <w:b/>
              </w:rPr>
              <w:t>May go into Lantern?</w:t>
            </w:r>
          </w:p>
        </w:tc>
        <w:tc>
          <w:tcPr>
            <w:tcW w:type="dxa" w:w="2160"/>
          </w:tcPr>
          <w:p>
            <w:r>
              <w:rPr>
                <w:b/>
              </w:rPr>
              <w:t>May go into outside AI tools?</w:t>
            </w:r>
          </w:p>
        </w:tc>
      </w:tr>
      <w:tr>
        <w:tc>
          <w:tcPr>
            <w:tcW w:type="dxa" w:w="2160"/>
          </w:tcPr>
          <w:p>
            <w:r>
              <w:t>Green</w:t>
            </w:r>
          </w:p>
        </w:tc>
        <w:tc>
          <w:tcPr>
            <w:tcW w:type="dxa" w:w="2160"/>
          </w:tcPr>
          <w:p>
            <w:r>
              <w:t>Published or public material, such as marketing copy already on the website</w:t>
            </w:r>
          </w:p>
        </w:tc>
        <w:tc>
          <w:tcPr>
            <w:tcW w:type="dxa" w:w="2160"/>
          </w:tcPr>
          <w:p>
            <w:r>
              <w:t>Yes</w:t>
            </w:r>
          </w:p>
        </w:tc>
        <w:tc>
          <w:tcPr>
            <w:tcW w:type="dxa" w:w="2160"/>
          </w:tcPr>
          <w:p>
            <w:r>
              <w:t>Yes</w:t>
            </w:r>
          </w:p>
        </w:tc>
      </w:tr>
      <w:tr>
        <w:tc>
          <w:tcPr>
            <w:tcW w:type="dxa" w:w="2160"/>
          </w:tcPr>
          <w:p>
            <w:r>
              <w:t>Amber</w:t>
            </w:r>
          </w:p>
        </w:tc>
        <w:tc>
          <w:tcPr>
            <w:tcW w:type="dxa" w:w="2160"/>
          </w:tcPr>
          <w:p>
            <w:r>
              <w:t>Client work in progress and internal plans</w:t>
            </w:r>
          </w:p>
        </w:tc>
        <w:tc>
          <w:tcPr>
            <w:tcW w:type="dxa" w:w="2160"/>
          </w:tcPr>
          <w:p>
            <w:r>
              <w:t>Yes</w:t>
            </w:r>
          </w:p>
        </w:tc>
        <w:tc>
          <w:tcPr>
            <w:tcW w:type="dxa" w:w="2160"/>
          </w:tcPr>
          <w:p>
            <w:r>
              <w:t>No</w:t>
            </w:r>
          </w:p>
        </w:tc>
      </w:tr>
      <w:tr>
        <w:tc>
          <w:tcPr>
            <w:tcW w:type="dxa" w:w="2160"/>
          </w:tcPr>
          <w:p>
            <w:r>
              <w:t>Red</w:t>
            </w:r>
          </w:p>
        </w:tc>
        <w:tc>
          <w:tcPr>
            <w:tcW w:type="dxa" w:w="2160"/>
          </w:tcPr>
          <w:p>
            <w:r>
              <w:t>Client contracts, personal data and financial records</w:t>
            </w:r>
          </w:p>
        </w:tc>
        <w:tc>
          <w:tcPr>
            <w:tcW w:type="dxa" w:w="2160"/>
          </w:tcPr>
          <w:p>
            <w:r>
              <w:t>Only with written approval from Tomasz Lewandowski</w:t>
            </w:r>
          </w:p>
        </w:tc>
        <w:tc>
          <w:tcPr>
            <w:tcW w:type="dxa" w:w="2160"/>
          </w:tcPr>
          <w:p>
            <w:r>
              <w:t>No</w:t>
            </w:r>
          </w:p>
        </w:tc>
      </w:tr>
    </w:tbl>
    <w:p>
      <w:pPr>
        <w:pStyle w:val="Heading1"/>
      </w:pPr>
      <w:r>
        <w:t>3. Rules for everyone</w:t>
      </w:r>
    </w:p>
    <w:p>
      <w:pPr>
        <w:pStyle w:val="ListBullet"/>
      </w:pPr>
      <w:r>
        <w:t>Use only your own account. Sharing a sign-in is not allowed.</w:t>
      </w:r>
    </w:p>
    <w:p>
      <w:pPr>
        <w:pStyle w:val="ListBullet"/>
      </w:pPr>
      <w:r>
        <w:t>Check the workspace name at the top of a chat before you paste client material.</w:t>
      </w:r>
    </w:p>
    <w:p>
      <w:pPr>
        <w:pStyle w:val="ListBullet"/>
      </w:pPr>
      <w:r>
        <w:t>A person must read and check every answer before it leaves the studio. Lantern drafts, and the person who sends the answer is responsible for it.</w:t>
      </w:r>
    </w:p>
    <w:p>
      <w:pPr>
        <w:pStyle w:val="ListBullet"/>
      </w:pPr>
      <w:r>
        <w:t>Do not use outside cloud AI tools for amber or red data.</w:t>
      </w:r>
    </w:p>
    <w:p>
      <w:pPr>
        <w:pStyle w:val="ListBullet"/>
      </w:pPr>
      <w:r>
        <w:t>Attend the 45 minute training session before an account is issued.</w:t>
      </w:r>
    </w:p>
    <w:p>
      <w:pPr>
        <w:pStyle w:val="Heading1"/>
      </w:pPr>
      <w:r>
        <w:t>4. Retention</w:t>
      </w:r>
    </w:p>
    <w:tbl>
      <w:tblPr>
        <w:tblStyle w:val="TableGrid"/>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How long it is kept</w:t>
            </w:r>
          </w:p>
        </w:tc>
      </w:tr>
      <w:tr>
        <w:tc>
          <w:tcPr>
            <w:tcW w:type="dxa" w:w="4320"/>
          </w:tcPr>
          <w:p>
            <w:r>
              <w:t>Chat logs</w:t>
            </w:r>
          </w:p>
        </w:tc>
        <w:tc>
          <w:tcPr>
            <w:tcW w:type="dxa" w:w="4320"/>
          </w:tcPr>
          <w:p>
            <w:r>
              <w:t>90 days</w:t>
            </w:r>
          </w:p>
        </w:tc>
      </w:tr>
      <w:tr>
        <w:tc>
          <w:tcPr>
            <w:tcW w:type="dxa" w:w="4320"/>
          </w:tcPr>
          <w:p>
            <w:r>
              <w:t>Audit logs</w:t>
            </w:r>
          </w:p>
        </w:tc>
        <w:tc>
          <w:tcPr>
            <w:tcW w:type="dxa" w:w="4320"/>
          </w:tcPr>
          <w:p>
            <w:r>
              <w:t>365 days (one year)</w:t>
            </w:r>
          </w:p>
        </w:tc>
      </w:tr>
      <w:tr>
        <w:tc>
          <w:tcPr>
            <w:tcW w:type="dxa" w:w="4320"/>
          </w:tcPr>
          <w:p>
            <w:r>
              <w:t>Uploaded documents</w:t>
            </w:r>
          </w:p>
        </w:tc>
        <w:tc>
          <w:tcPr>
            <w:tcW w:type="dxa" w:w="4320"/>
          </w:tcPr>
          <w:p>
            <w:r>
              <w:t>until the project is closed, plus 12 months</w:t>
            </w:r>
          </w:p>
        </w:tc>
      </w:tr>
      <w:tr>
        <w:tc>
          <w:tcPr>
            <w:tcW w:type="dxa" w:w="4320"/>
          </w:tcPr>
          <w:p>
            <w:r>
              <w:t>Backups</w:t>
            </w:r>
          </w:p>
        </w:tc>
        <w:tc>
          <w:tcPr>
            <w:tcW w:type="dxa" w:w="4320"/>
          </w:tcPr>
          <w:p>
            <w:r>
              <w:t>30 days</w:t>
            </w:r>
          </w:p>
        </w:tc>
      </w:tr>
    </w:tbl>
    <w:p>
      <w:r>
        <w:t>Retention is enforced automatically each night, except where a legal hold is in place. A legal hold is placed by the person handling an incident and is removed only by Tomasz Lewandowski.</w:t>
      </w:r>
    </w:p>
    <w:p>
      <w:pPr>
        <w:pStyle w:val="Heading1"/>
      </w:pPr>
      <w:r>
        <w:t>5. Incidents</w:t>
      </w:r>
    </w:p>
    <w:p>
      <w:r>
        <w:t>Report any suspected incident to Tomasz Lewandowski within 24 hours. If red data may have been exposed, phone him within 1 hour. The incident runbook says what happens next.</w:t>
      </w:r>
    </w:p>
    <w:p>
      <w:pPr>
        <w:pStyle w:val="Heading1"/>
      </w:pPr>
      <w:r>
        <w:t>6. Approval and review</w:t>
      </w:r>
    </w:p>
    <w:p>
      <w:r>
        <w:t>Maya Okafor approved this policy on 21 March 2025. It is reviewed every six months, so the first review is due on 21 September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