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880" w:firstLine="720"/>
        <w:jc w:val="left"/>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will be provided in BUX under the LAB 5-Recursion subsection tab 2 days before the deadline.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C">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r w:rsidDel="00000000" w:rsidR="00000000" w:rsidRPr="00000000">
        <w:rPr>
          <w:rtl w:val="0"/>
        </w:rPr>
      </w:r>
    </w:p>
    <w:p w:rsidR="00000000" w:rsidDel="00000000" w:rsidP="00000000" w:rsidRDefault="00000000" w:rsidRPr="00000000" w14:paraId="0000000E">
      <w:pPr>
        <w:pageBreakBefore w:val="0"/>
        <w:numPr>
          <w:ilvl w:val="0"/>
          <w:numId w:val="2"/>
        </w:numPr>
        <w:spacing w:after="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40" w:lineRule="auto"/>
        <w:ind w:left="719.442138671875" w:right="0" w:firstLine="0"/>
        <w:jc w:val="left"/>
        <w:rPr>
          <w:i w:val="0"/>
          <w:smallCaps w:val="0"/>
          <w:strike w:val="0"/>
          <w:color w:val="000000"/>
          <w:sz w:val="24.032976150512695"/>
          <w:szCs w:val="24.032976150512695"/>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1) → 3 </w:t>
          </w:r>
        </w:sdtContent>
      </w:sdt>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sdtContent>
      </w:sdt>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sdtContent>
      </w:sdt>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pageBreakBefore w:val="0"/>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pageBreakBefore w:val="0"/>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pageBreakBefore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pageBreakBefore w:val="0"/>
        <w:spacing w:after="160" w:line="360" w:lineRule="auto"/>
        <w:rPr>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4</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5</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auyUkdHfsQahhBdn2NQ4C177Q==">AMUW2mVGL2KWgV7XQXuHhGCr9tFbMKcS8aRc2MZtG+B2/qKTsONdZi4nHP5TzS7DdcVYyAj00TiO3Q99gJahkvoGLdqEcDsI55f1GUW6GPCKVs9eYuMOTnZCg0zY4pSsHmOGOqwj4YWbnq7hItkZnSqfk1nwi+EIPE59BR3lcLcmJxwt20Xi6H6w38CDY4jIKnenpbYXQkLlAgMFc2lw8iv24heKE8bEl+6nm1z7el6DAT5o4WuBp2fEXj5NhUEK9x8nya0vhLrAL0pQ5TXLpHCyMnGpJ3i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