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8105B" w14:textId="77777777" w:rsidR="00713ECF"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bookmarkStart w:id="0" w:name="_GoBack"/>
      <w:bookmarkEnd w:id="0"/>
      <w:r w:rsidR="00713ECF">
        <w:rPr>
          <w:noProof/>
        </w:rPr>
        <w:t>Part 1 – General Information</w:t>
      </w:r>
      <w:r w:rsidR="00713ECF">
        <w:rPr>
          <w:noProof/>
        </w:rPr>
        <w:tab/>
      </w:r>
      <w:r w:rsidR="00713ECF">
        <w:rPr>
          <w:noProof/>
        </w:rPr>
        <w:fldChar w:fldCharType="begin"/>
      </w:r>
      <w:r w:rsidR="00713ECF">
        <w:rPr>
          <w:noProof/>
        </w:rPr>
        <w:instrText xml:space="preserve"> PAGEREF _Toc320807569 \h </w:instrText>
      </w:r>
      <w:r w:rsidR="00713ECF">
        <w:rPr>
          <w:noProof/>
        </w:rPr>
      </w:r>
      <w:r w:rsidR="00713ECF">
        <w:rPr>
          <w:noProof/>
        </w:rPr>
        <w:fldChar w:fldCharType="separate"/>
      </w:r>
      <w:r w:rsidR="00713ECF">
        <w:rPr>
          <w:noProof/>
        </w:rPr>
        <w:t>1</w:t>
      </w:r>
      <w:r w:rsidR="00713ECF">
        <w:rPr>
          <w:noProof/>
        </w:rPr>
        <w:fldChar w:fldCharType="end"/>
      </w:r>
    </w:p>
    <w:p w14:paraId="31F84F72" w14:textId="77777777" w:rsidR="00713ECF" w:rsidRDefault="00713ECF">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_Toc320807570 \h </w:instrText>
      </w:r>
      <w:r>
        <w:rPr>
          <w:noProof/>
        </w:rPr>
      </w:r>
      <w:r>
        <w:rPr>
          <w:noProof/>
        </w:rPr>
        <w:fldChar w:fldCharType="separate"/>
      </w:r>
      <w:r>
        <w:rPr>
          <w:noProof/>
        </w:rPr>
        <w:t>2</w:t>
      </w:r>
      <w:r>
        <w:rPr>
          <w:noProof/>
        </w:rPr>
        <w:fldChar w:fldCharType="end"/>
      </w:r>
    </w:p>
    <w:p w14:paraId="1E0CA0D5" w14:textId="77777777" w:rsidR="00713ECF" w:rsidRDefault="00713ECF">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_Toc320807571 \h </w:instrText>
      </w:r>
      <w:r>
        <w:rPr>
          <w:noProof/>
        </w:rPr>
      </w:r>
      <w:r>
        <w:rPr>
          <w:noProof/>
        </w:rPr>
        <w:fldChar w:fldCharType="separate"/>
      </w:r>
      <w:r>
        <w:rPr>
          <w:noProof/>
        </w:rPr>
        <w:t>2</w:t>
      </w:r>
      <w:r>
        <w:rPr>
          <w:noProof/>
        </w:rPr>
        <w:fldChar w:fldCharType="end"/>
      </w:r>
    </w:p>
    <w:p w14:paraId="6582CBBE" w14:textId="77777777" w:rsidR="00713ECF" w:rsidRDefault="00713ECF">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_Toc320807572 \h </w:instrText>
      </w:r>
      <w:r>
        <w:rPr>
          <w:noProof/>
        </w:rPr>
      </w:r>
      <w:r>
        <w:rPr>
          <w:noProof/>
        </w:rPr>
        <w:fldChar w:fldCharType="separate"/>
      </w:r>
      <w:r>
        <w:rPr>
          <w:noProof/>
        </w:rPr>
        <w:t>3</w:t>
      </w:r>
      <w:r>
        <w:rPr>
          <w:noProof/>
        </w:rPr>
        <w:fldChar w:fldCharType="end"/>
      </w:r>
    </w:p>
    <w:p w14:paraId="65CF12FC" w14:textId="77777777" w:rsidR="00713ECF" w:rsidRDefault="00713ECF">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_Toc320807573 \h </w:instrText>
      </w:r>
      <w:r>
        <w:rPr>
          <w:noProof/>
        </w:rPr>
      </w:r>
      <w:r>
        <w:rPr>
          <w:noProof/>
        </w:rPr>
        <w:fldChar w:fldCharType="separate"/>
      </w:r>
      <w:r>
        <w:rPr>
          <w:noProof/>
        </w:rPr>
        <w:t>4</w:t>
      </w:r>
      <w:r>
        <w:rPr>
          <w:noProof/>
        </w:rPr>
        <w:fldChar w:fldCharType="end"/>
      </w:r>
    </w:p>
    <w:p w14:paraId="54183B04" w14:textId="77777777" w:rsidR="00713ECF" w:rsidRDefault="00713ECF">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_Toc320807574 \h </w:instrText>
      </w:r>
      <w:r>
        <w:rPr>
          <w:noProof/>
        </w:rPr>
      </w:r>
      <w:r>
        <w:rPr>
          <w:noProof/>
        </w:rPr>
        <w:fldChar w:fldCharType="separate"/>
      </w:r>
      <w:r>
        <w:rPr>
          <w:noProof/>
        </w:rPr>
        <w:t>5</w:t>
      </w:r>
      <w:r>
        <w:rPr>
          <w:noProof/>
        </w:rPr>
        <w:fldChar w:fldCharType="end"/>
      </w:r>
    </w:p>
    <w:p w14:paraId="409CF0C1" w14:textId="77777777" w:rsidR="00713ECF" w:rsidRDefault="00713ECF">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_Toc320807575 \h </w:instrText>
      </w:r>
      <w:r>
        <w:rPr>
          <w:noProof/>
        </w:rPr>
      </w:r>
      <w:r>
        <w:rPr>
          <w:noProof/>
        </w:rPr>
        <w:fldChar w:fldCharType="separate"/>
      </w:r>
      <w:r>
        <w:rPr>
          <w:noProof/>
        </w:rPr>
        <w:t>5</w:t>
      </w:r>
      <w:r>
        <w:rPr>
          <w:noProof/>
        </w:rPr>
        <w:fldChar w:fldCharType="end"/>
      </w:r>
    </w:p>
    <w:p w14:paraId="5FCCEFF5" w14:textId="77777777" w:rsidR="00713ECF" w:rsidRDefault="00713ECF">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_Toc320807576 \h </w:instrText>
      </w:r>
      <w:r>
        <w:rPr>
          <w:noProof/>
        </w:rPr>
      </w:r>
      <w:r>
        <w:rPr>
          <w:noProof/>
        </w:rPr>
        <w:fldChar w:fldCharType="separate"/>
      </w:r>
      <w:r>
        <w:rPr>
          <w:noProof/>
        </w:rPr>
        <w:t>5</w:t>
      </w:r>
      <w:r>
        <w:rPr>
          <w:noProof/>
        </w:rPr>
        <w:fldChar w:fldCharType="end"/>
      </w:r>
    </w:p>
    <w:p w14:paraId="541E6DA8" w14:textId="77777777" w:rsidR="00713ECF" w:rsidRDefault="00713ECF">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_Toc320807577 \h </w:instrText>
      </w:r>
      <w:r>
        <w:rPr>
          <w:noProof/>
        </w:rPr>
      </w:r>
      <w:r>
        <w:rPr>
          <w:noProof/>
        </w:rPr>
        <w:fldChar w:fldCharType="separate"/>
      </w:r>
      <w:r>
        <w:rPr>
          <w:noProof/>
        </w:rPr>
        <w:t>5</w:t>
      </w:r>
      <w:r>
        <w:rPr>
          <w:noProof/>
        </w:rPr>
        <w:fldChar w:fldCharType="end"/>
      </w:r>
    </w:p>
    <w:p w14:paraId="2E61B633" w14:textId="77777777" w:rsidR="00713ECF" w:rsidRDefault="00713ECF">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_Toc320807578 \h </w:instrText>
      </w:r>
      <w:r>
        <w:rPr>
          <w:noProof/>
        </w:rPr>
      </w:r>
      <w:r>
        <w:rPr>
          <w:noProof/>
        </w:rPr>
        <w:fldChar w:fldCharType="separate"/>
      </w:r>
      <w:r>
        <w:rPr>
          <w:noProof/>
        </w:rPr>
        <w:t>5</w:t>
      </w:r>
      <w:r>
        <w:rPr>
          <w:noProof/>
        </w:rPr>
        <w:fldChar w:fldCharType="end"/>
      </w:r>
    </w:p>
    <w:p w14:paraId="75979924" w14:textId="77777777" w:rsidR="00713ECF" w:rsidRDefault="00713ECF">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_Toc320807579 \h </w:instrText>
      </w:r>
      <w:r>
        <w:rPr>
          <w:noProof/>
        </w:rPr>
      </w:r>
      <w:r>
        <w:rPr>
          <w:noProof/>
        </w:rPr>
        <w:fldChar w:fldCharType="separate"/>
      </w:r>
      <w:r>
        <w:rPr>
          <w:noProof/>
        </w:rPr>
        <w:t>5</w:t>
      </w:r>
      <w:r>
        <w:rPr>
          <w:noProof/>
        </w:rPr>
        <w:fldChar w:fldCharType="end"/>
      </w:r>
    </w:p>
    <w:p w14:paraId="53DAF961" w14:textId="77777777" w:rsidR="00713ECF" w:rsidRDefault="00713ECF">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_Toc320807580 \h </w:instrText>
      </w:r>
      <w:r>
        <w:rPr>
          <w:noProof/>
        </w:rPr>
      </w:r>
      <w:r>
        <w:rPr>
          <w:noProof/>
        </w:rPr>
        <w:fldChar w:fldCharType="separate"/>
      </w:r>
      <w:r>
        <w:rPr>
          <w:noProof/>
        </w:rPr>
        <w:t>5</w:t>
      </w:r>
      <w:r>
        <w:rPr>
          <w:noProof/>
        </w:rPr>
        <w:fldChar w:fldCharType="end"/>
      </w:r>
    </w:p>
    <w:p w14:paraId="129DEF75" w14:textId="77777777" w:rsidR="00713ECF" w:rsidRDefault="00713ECF">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_Toc320807581 \h </w:instrText>
      </w:r>
      <w:r>
        <w:rPr>
          <w:noProof/>
        </w:rPr>
      </w:r>
      <w:r>
        <w:rPr>
          <w:noProof/>
        </w:rPr>
        <w:fldChar w:fldCharType="separate"/>
      </w:r>
      <w:r>
        <w:rPr>
          <w:noProof/>
        </w:rPr>
        <w:t>6</w:t>
      </w:r>
      <w:r>
        <w:rPr>
          <w:noProof/>
        </w:rPr>
        <w:fldChar w:fldCharType="end"/>
      </w:r>
    </w:p>
    <w:p w14:paraId="4FF82096" w14:textId="77777777" w:rsidR="00713ECF" w:rsidRDefault="00713ECF">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_Toc320807582 \h </w:instrText>
      </w:r>
      <w:r>
        <w:rPr>
          <w:noProof/>
        </w:rPr>
      </w:r>
      <w:r>
        <w:rPr>
          <w:noProof/>
        </w:rPr>
        <w:fldChar w:fldCharType="separate"/>
      </w:r>
      <w:r>
        <w:rPr>
          <w:noProof/>
        </w:rPr>
        <w:t>6</w:t>
      </w:r>
      <w:r>
        <w:rPr>
          <w:noProof/>
        </w:rPr>
        <w:fldChar w:fldCharType="end"/>
      </w:r>
    </w:p>
    <w:p w14:paraId="7D070676" w14:textId="77777777" w:rsidR="00713ECF" w:rsidRDefault="00713ECF">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_Toc320807583 \h </w:instrText>
      </w:r>
      <w:r>
        <w:rPr>
          <w:noProof/>
        </w:rPr>
      </w:r>
      <w:r>
        <w:rPr>
          <w:noProof/>
        </w:rPr>
        <w:fldChar w:fldCharType="separate"/>
      </w:r>
      <w:r>
        <w:rPr>
          <w:noProof/>
        </w:rPr>
        <w:t>11</w:t>
      </w:r>
      <w:r>
        <w:rPr>
          <w:noProof/>
        </w:rPr>
        <w:fldChar w:fldCharType="end"/>
      </w:r>
    </w:p>
    <w:p w14:paraId="118FD342" w14:textId="77777777" w:rsidR="00713ECF" w:rsidRDefault="00713ECF">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_Toc320807584 \h </w:instrText>
      </w:r>
      <w:r>
        <w:rPr>
          <w:noProof/>
        </w:rPr>
      </w:r>
      <w:r>
        <w:rPr>
          <w:noProof/>
        </w:rPr>
        <w:fldChar w:fldCharType="separate"/>
      </w:r>
      <w:r>
        <w:rPr>
          <w:noProof/>
        </w:rPr>
        <w:t>11</w:t>
      </w:r>
      <w:r>
        <w:rPr>
          <w:noProof/>
        </w:rPr>
        <w:fldChar w:fldCharType="end"/>
      </w:r>
    </w:p>
    <w:p w14:paraId="55A83E27" w14:textId="77777777" w:rsidR="00713ECF" w:rsidRDefault="00713ECF">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_Toc320807585 \h </w:instrText>
      </w:r>
      <w:r>
        <w:rPr>
          <w:noProof/>
        </w:rPr>
      </w:r>
      <w:r>
        <w:rPr>
          <w:noProof/>
        </w:rPr>
        <w:fldChar w:fldCharType="separate"/>
      </w:r>
      <w:r>
        <w:rPr>
          <w:noProof/>
        </w:rPr>
        <w:t>11</w:t>
      </w:r>
      <w:r>
        <w:rPr>
          <w:noProof/>
        </w:rPr>
        <w:fldChar w:fldCharType="end"/>
      </w:r>
    </w:p>
    <w:p w14:paraId="32653A55" w14:textId="77777777" w:rsidR="00713ECF" w:rsidRDefault="00713ECF">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_Toc320807586 \h </w:instrText>
      </w:r>
      <w:r>
        <w:rPr>
          <w:noProof/>
        </w:rPr>
      </w:r>
      <w:r>
        <w:rPr>
          <w:noProof/>
        </w:rPr>
        <w:fldChar w:fldCharType="separate"/>
      </w:r>
      <w:r>
        <w:rPr>
          <w:noProof/>
        </w:rPr>
        <w:t>12</w:t>
      </w:r>
      <w:r>
        <w:rPr>
          <w:noProof/>
        </w:rPr>
        <w:fldChar w:fldCharType="end"/>
      </w:r>
    </w:p>
    <w:p w14:paraId="707B9263" w14:textId="77777777" w:rsidR="00713ECF" w:rsidRDefault="00713ECF">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_Toc320807587 \h </w:instrText>
      </w:r>
      <w:r>
        <w:rPr>
          <w:noProof/>
        </w:rPr>
      </w:r>
      <w:r>
        <w:rPr>
          <w:noProof/>
        </w:rPr>
        <w:fldChar w:fldCharType="separate"/>
      </w:r>
      <w:r>
        <w:rPr>
          <w:noProof/>
        </w:rPr>
        <w:t>12</w:t>
      </w:r>
      <w:r>
        <w:rPr>
          <w:noProof/>
        </w:rPr>
        <w:fldChar w:fldCharType="end"/>
      </w:r>
    </w:p>
    <w:p w14:paraId="4FABD30E" w14:textId="77777777" w:rsidR="00713ECF" w:rsidRDefault="00713ECF">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_Toc320807588 \h </w:instrText>
      </w:r>
      <w:r>
        <w:rPr>
          <w:noProof/>
        </w:rPr>
      </w:r>
      <w:r>
        <w:rPr>
          <w:noProof/>
        </w:rPr>
        <w:fldChar w:fldCharType="separate"/>
      </w:r>
      <w:r>
        <w:rPr>
          <w:noProof/>
        </w:rPr>
        <w:t>12</w:t>
      </w:r>
      <w:r>
        <w:rPr>
          <w:noProof/>
        </w:rPr>
        <w:fldChar w:fldCharType="end"/>
      </w:r>
    </w:p>
    <w:p w14:paraId="0DCC99EE" w14:textId="77777777" w:rsidR="00713ECF" w:rsidRDefault="00713ECF">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_Toc320807589 \h </w:instrText>
      </w:r>
      <w:r>
        <w:rPr>
          <w:noProof/>
        </w:rPr>
      </w:r>
      <w:r>
        <w:rPr>
          <w:noProof/>
        </w:rPr>
        <w:fldChar w:fldCharType="separate"/>
      </w:r>
      <w:r>
        <w:rPr>
          <w:noProof/>
        </w:rPr>
        <w:t>12</w:t>
      </w:r>
      <w:r>
        <w:rPr>
          <w:noProof/>
        </w:rPr>
        <w:fldChar w:fldCharType="end"/>
      </w:r>
    </w:p>
    <w:p w14:paraId="7D39EAC4" w14:textId="77777777" w:rsidR="00713ECF" w:rsidRDefault="00713ECF">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_Toc320807590 \h </w:instrText>
      </w:r>
      <w:r>
        <w:rPr>
          <w:noProof/>
        </w:rPr>
      </w:r>
      <w:r>
        <w:rPr>
          <w:noProof/>
        </w:rPr>
        <w:fldChar w:fldCharType="separate"/>
      </w:r>
      <w:r>
        <w:rPr>
          <w:noProof/>
        </w:rPr>
        <w:t>12</w:t>
      </w:r>
      <w:r>
        <w:rPr>
          <w:noProof/>
        </w:rPr>
        <w:fldChar w:fldCharType="end"/>
      </w:r>
    </w:p>
    <w:p w14:paraId="31F060F5" w14:textId="77777777" w:rsidR="00713ECF" w:rsidRDefault="00713ECF">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_Toc320807591 \h </w:instrText>
      </w:r>
      <w:r>
        <w:rPr>
          <w:noProof/>
        </w:rPr>
      </w:r>
      <w:r>
        <w:rPr>
          <w:noProof/>
        </w:rPr>
        <w:fldChar w:fldCharType="separate"/>
      </w:r>
      <w:r>
        <w:rPr>
          <w:noProof/>
        </w:rPr>
        <w:t>13</w:t>
      </w:r>
      <w:r>
        <w:rPr>
          <w:noProof/>
        </w:rPr>
        <w:fldChar w:fldCharType="end"/>
      </w:r>
    </w:p>
    <w:p w14:paraId="6DC4654D" w14:textId="77777777" w:rsidR="00713ECF" w:rsidRDefault="00713ECF">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_Toc320807592 \h </w:instrText>
      </w:r>
      <w:r>
        <w:rPr>
          <w:noProof/>
        </w:rPr>
      </w:r>
      <w:r>
        <w:rPr>
          <w:noProof/>
        </w:rPr>
        <w:fldChar w:fldCharType="separate"/>
      </w:r>
      <w:r>
        <w:rPr>
          <w:noProof/>
        </w:rPr>
        <w:t>13</w:t>
      </w:r>
      <w:r>
        <w:rPr>
          <w:noProof/>
        </w:rPr>
        <w:fldChar w:fldCharType="end"/>
      </w:r>
    </w:p>
    <w:p w14:paraId="226F340F" w14:textId="77777777" w:rsidR="00713ECF" w:rsidRDefault="00713ECF">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_Toc320807593 \h </w:instrText>
      </w:r>
      <w:r>
        <w:rPr>
          <w:noProof/>
        </w:rPr>
      </w:r>
      <w:r>
        <w:rPr>
          <w:noProof/>
        </w:rPr>
        <w:fldChar w:fldCharType="separate"/>
      </w:r>
      <w:r>
        <w:rPr>
          <w:noProof/>
        </w:rPr>
        <w:t>13</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1" w:name="_Toc320807569"/>
      <w:r>
        <w:t>Part</w:t>
      </w:r>
      <w:r w:rsidR="00AC5742">
        <w:t xml:space="preserve"> 1 – General Information</w:t>
      </w:r>
      <w:bookmarkEnd w:id="1"/>
    </w:p>
    <w:p w14:paraId="3EA315C2" w14:textId="77777777" w:rsidR="003958A0" w:rsidRDefault="003958A0" w:rsidP="003958A0"/>
    <w:p w14:paraId="6F712D13" w14:textId="77777777" w:rsidR="00BB126D" w:rsidRDefault="00BB126D" w:rsidP="00BB126D">
      <w:pPr>
        <w:pStyle w:val="Heading2"/>
      </w:pPr>
      <w:bookmarkStart w:id="2" w:name="_Toc320807570"/>
      <w:r>
        <w:lastRenderedPageBreak/>
        <w:t xml:space="preserve">Chapter 1 </w:t>
      </w:r>
      <w:r w:rsidR="00367D2B">
        <w:t xml:space="preserve">Necessary </w:t>
      </w:r>
      <w:r w:rsidR="00610FC9">
        <w:t>Overhead</w:t>
      </w:r>
      <w:bookmarkEnd w:id="2"/>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3" w:name="_Toc320807571"/>
      <w:r>
        <w:t>Origin of this Document</w:t>
      </w:r>
      <w:bookmarkEnd w:id="3"/>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77777777" w:rsidR="000817AD" w:rsidRDefault="00713ECF" w:rsidP="00AC5742">
      <w:r>
        <w:object w:dxaOrig="8640" w:dyaOrig="84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20pt" o:ole="">
            <v:imagedata r:id="rId6" o:title=""/>
          </v:shape>
          <o:OLEObject Type="Link" ProgID="Word.Document.12" ShapeID="_x0000_i1025" DrawAspect="Content" r:id="rId7" UpdateMode="Always">
            <o:LinkType>Picture</o:LinkType>
            <o:LockedField>false</o:LockedField>
            <o:FieldCodes>\f 0</o:FieldCodes>
          </o:OLEObject>
        </w:object>
      </w:r>
    </w:p>
    <w:p w14:paraId="62D7DA9F" w14:textId="2A468312" w:rsidR="000817AD" w:rsidRDefault="005B642D" w:rsidP="00BB126D">
      <w:pPr>
        <w:pStyle w:val="Heading3"/>
      </w:pPr>
      <w:bookmarkStart w:id="4" w:name="_Toc320807572"/>
      <w:r>
        <w:t>Preface</w:t>
      </w:r>
      <w:bookmarkEnd w:id="4"/>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8"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5" w:name="_Toc320807573"/>
      <w:r>
        <w:t>Chapter 2 Link Budget</w:t>
      </w:r>
      <w:bookmarkEnd w:id="5"/>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66A73119"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9" w:history="1">
        <w:r w:rsidR="00F11E1B" w:rsidRPr="004D7352">
          <w:rPr>
            <w:rStyle w:val="Hyperlink"/>
          </w:rPr>
          <w:t>https://github.com/phase4ground/documents/tree/master/Engineering/Requirements/Air_Interface</w:t>
        </w:r>
      </w:hyperlink>
      <w:r w:rsidR="00F11E1B">
        <w:br/>
      </w:r>
      <w:r w:rsidR="00F11E1B">
        <w:br/>
      </w:r>
      <w:r w:rsidR="008F3B3A">
        <w:t>For example, w</w:t>
      </w:r>
      <w:r w:rsidR="00F11E1B">
        <w:t xml:space="preserve">e expect an uplink 5kHz data rate with an </w:t>
      </w:r>
      <w:proofErr w:type="gramStart"/>
      <w:r w:rsidR="00F11E1B">
        <w:t>18 inch</w:t>
      </w:r>
      <w:proofErr w:type="gramEnd"/>
      <w:r w:rsidR="00F11E1B">
        <w:t xml:space="preserve">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6" w:name="_Toc320807574"/>
      <w:r>
        <w:t>Chapter 3 System Time</w:t>
      </w:r>
      <w:bookmarkEnd w:id="6"/>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320807575"/>
      <w:r>
        <w:t>Chapter 4 Tolerances</w:t>
      </w:r>
      <w:bookmarkEnd w:id="7"/>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320807576"/>
      <w:r>
        <w:t>Chapter 5 Forward Compatibility Rules</w:t>
      </w:r>
      <w:bookmarkEnd w:id="8"/>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320807577"/>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320807578"/>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320807579"/>
      <w:r>
        <w:t>Frequencies</w:t>
      </w:r>
      <w:bookmarkEnd w:id="1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77777777" w:rsidR="00C56A1D" w:rsidRPr="00C56A1D" w:rsidRDefault="00C56A1D" w:rsidP="00C56A1D">
            <w:r w:rsidRPr="00C56A1D">
              <w:t>5650 – 5660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77777777" w:rsidR="00C56A1D" w:rsidRPr="00C56A1D" w:rsidRDefault="00C56A1D" w:rsidP="00C56A1D">
            <w:r w:rsidRPr="00C56A1D">
              <w:t>5650 – 5660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proofErr w:type="spellStart"/>
            <w:r w:rsidRPr="00C56A1D">
              <w:t>Groundsat</w:t>
            </w:r>
            <w:proofErr w:type="spellEnd"/>
          </w:p>
        </w:tc>
        <w:tc>
          <w:tcPr>
            <w:tcW w:w="2682" w:type="dxa"/>
          </w:tcPr>
          <w:p w14:paraId="72DA1739" w14:textId="00B75F77" w:rsidR="00C56A1D" w:rsidRPr="00C56A1D" w:rsidRDefault="00C56A1D" w:rsidP="00C56A1D">
            <w:r w:rsidRPr="00C56A1D">
              <w:t>5650 – 5660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proofErr w:type="gramStart"/>
      <w:r>
        <w:t>c</w:t>
      </w:r>
      <w:r w:rsidR="00C56A1D">
        <w:t>hannel</w:t>
      </w:r>
      <w:proofErr w:type="gramEnd"/>
      <w:r w:rsidR="00C56A1D">
        <w:t xml:space="preserve"> spacing and designation</w:t>
      </w:r>
    </w:p>
    <w:p w14:paraId="62672824" w14:textId="77777777" w:rsidR="00C56A1D" w:rsidRDefault="00C56A1D" w:rsidP="00AC5742">
      <w:proofErr w:type="gramStart"/>
      <w:r>
        <w:t>frequency</w:t>
      </w:r>
      <w:proofErr w:type="gramEnd"/>
      <w:r>
        <w:t xml:space="preserve"> tolerance</w:t>
      </w:r>
    </w:p>
    <w:p w14:paraId="4048F808" w14:textId="77777777" w:rsidR="00C56A1D" w:rsidRDefault="00C56A1D" w:rsidP="00AC5742">
      <w:proofErr w:type="gramStart"/>
      <w:r>
        <w:t>power</w:t>
      </w:r>
      <w:proofErr w:type="gramEnd"/>
      <w:r>
        <w:t xml:space="preserve"> output characteristics</w:t>
      </w:r>
    </w:p>
    <w:p w14:paraId="502706BB" w14:textId="77777777" w:rsidR="00C56A1D" w:rsidRDefault="00AC5742" w:rsidP="00C56A1D">
      <w:proofErr w:type="gramStart"/>
      <w:r>
        <w:t>carrier</w:t>
      </w:r>
      <w:proofErr w:type="gramEnd"/>
      <w:r>
        <w:t xml:space="preserve">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320807580"/>
      <w:r>
        <w:t>Voice Signal Quality</w:t>
      </w:r>
      <w:bookmarkEnd w:id="12"/>
    </w:p>
    <w:p w14:paraId="0AC676F6" w14:textId="438ABB6E" w:rsidR="00C56A1D" w:rsidRDefault="001F5289" w:rsidP="00AC5742">
      <w:r>
        <w:t>There is unhappiness</w:t>
      </w:r>
      <w:r w:rsidR="007B226A">
        <w:t xml:space="preserve"> with the lack of attention paid to voice quality in most</w:t>
      </w:r>
      <w:r w:rsidR="00C56A1D">
        <w:t xml:space="preserve"> CODECs borrowed from industry. Voice codecs literally are the voice of the system. A radio design can be exemplary, but if the codec sounds harsh,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02D394F7" w:rsidR="00C56A1D" w:rsidRDefault="00C56A1D" w:rsidP="00AC5742">
      <w:r>
        <w:t xml:space="preserve">Phase 4 Ground recommends and implements the following.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proofErr w:type="gramStart"/>
      <w:r w:rsidR="00AC5742">
        <w:t>wideband</w:t>
      </w:r>
      <w:proofErr w:type="gramEnd"/>
      <w:r w:rsidR="00AC5742">
        <w:t xml:space="preserve"> data characteristics, encoding, modulation, limitations on bandwidth, </w:t>
      </w:r>
    </w:p>
    <w:p w14:paraId="3CFD2CFA" w14:textId="77777777" w:rsidR="00A034BA" w:rsidRDefault="00A034BA" w:rsidP="00A034BA">
      <w:pPr>
        <w:pStyle w:val="Heading3"/>
      </w:pPr>
      <w:bookmarkStart w:id="13" w:name="_Toc320807581"/>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320807582"/>
      <w:r>
        <w:t>Emission Type Designation</w:t>
      </w:r>
      <w:bookmarkEnd w:id="14"/>
    </w:p>
    <w:p w14:paraId="4047BE0F" w14:textId="73B72B63" w:rsidR="00583544" w:rsidRDefault="00AC5742" w:rsidP="00AC5742">
      <w:proofErr w:type="gramStart"/>
      <w:r>
        <w:t>emission</w:t>
      </w:r>
      <w:proofErr w:type="gramEnd"/>
      <w:r>
        <w:t xml:space="preserve">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0807583"/>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0807584"/>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proofErr w:type="spellStart"/>
            <w:r w:rsidRPr="00C56A1D">
              <w:t>Groundsat</w:t>
            </w:r>
            <w:proofErr w:type="spellEnd"/>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proofErr w:type="gramStart"/>
            <w:r>
              <w:t>up</w:t>
            </w:r>
            <w:proofErr w:type="gramEnd"/>
            <w:r>
              <w:t xml:space="preserve">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proofErr w:type="gramStart"/>
      <w:r>
        <w:t>channel</w:t>
      </w:r>
      <w:proofErr w:type="gramEnd"/>
      <w:r>
        <w:t xml:space="preserve"> spacing and designation, demodulation characteristics, voice signal stuff, </w:t>
      </w:r>
    </w:p>
    <w:p w14:paraId="13A8C890" w14:textId="77777777" w:rsidR="00A034BA" w:rsidRDefault="00A034BA" w:rsidP="00A034BA">
      <w:pPr>
        <w:pStyle w:val="Heading3"/>
      </w:pPr>
      <w:bookmarkStart w:id="17" w:name="_Toc320807585"/>
      <w:r>
        <w:t>Emission Type</w:t>
      </w:r>
      <w:bookmarkEnd w:id="17"/>
    </w:p>
    <w:p w14:paraId="5224B53B" w14:textId="75E373D2" w:rsidR="00A034BA" w:rsidRDefault="00FC42F6" w:rsidP="00A034BA">
      <w:r>
        <w:t xml:space="preserve">The emission type is a single-channel digital time-division multiplex downlink. The possible modulations include 90° BPSK, QPSK, and 8QPSK. Frames are encoded using LDPC-BCH. </w:t>
      </w:r>
    </w:p>
    <w:p w14:paraId="4D22FBDA" w14:textId="77777777" w:rsidR="00A034BA" w:rsidRDefault="00A034BA" w:rsidP="00A034BA">
      <w:pPr>
        <w:pStyle w:val="Heading3"/>
      </w:pPr>
      <w:bookmarkStart w:id="18" w:name="_Toc320807586"/>
      <w:r>
        <w:t>Emission Type Designation</w:t>
      </w:r>
      <w:bookmarkEnd w:id="18"/>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0807587"/>
      <w:r>
        <w:t>Chapter 8</w:t>
      </w:r>
      <w:r w:rsidR="0057363F">
        <w:t xml:space="preserve"> </w:t>
      </w:r>
      <w:r>
        <w:t>Supervision</w:t>
      </w:r>
      <w:bookmarkEnd w:id="19"/>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0807588"/>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320807589"/>
      <w:r>
        <w:t>Chapter 10</w:t>
      </w:r>
      <w:r w:rsidR="0057363F">
        <w:t xml:space="preserve"> </w:t>
      </w:r>
      <w:r>
        <w:t>Reconfiguration</w:t>
      </w:r>
      <w:bookmarkEnd w:id="21"/>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320807590"/>
      <w:r>
        <w:t>Chapter 11</w:t>
      </w:r>
      <w:r w:rsidR="0057363F">
        <w:t xml:space="preserve"> </w:t>
      </w:r>
      <w:r>
        <w:t>Idle State</w:t>
      </w:r>
      <w:bookmarkEnd w:id="22"/>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3" w:name="_Toc320807591"/>
      <w:r>
        <w:t>Chapter 12 Emergency Communications</w:t>
      </w:r>
      <w:bookmarkEnd w:id="23"/>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320807592"/>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320807593"/>
      <w:r>
        <w:t>Chapter 14</w:t>
      </w:r>
      <w:r w:rsidR="003C6205">
        <w:t xml:space="preserve"> </w:t>
      </w:r>
      <w:r w:rsidR="00F71629">
        <w:t>Gateways to Other Services</w:t>
      </w:r>
      <w:bookmarkEnd w:id="25"/>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196D"/>
    <w:rsid w:val="0049764A"/>
    <w:rsid w:val="004E0175"/>
    <w:rsid w:val="004E28B4"/>
    <w:rsid w:val="004F2130"/>
    <w:rsid w:val="004F76E3"/>
    <w:rsid w:val="00532D7D"/>
    <w:rsid w:val="005532F9"/>
    <w:rsid w:val="005658C4"/>
    <w:rsid w:val="0057363F"/>
    <w:rsid w:val="00573D12"/>
    <w:rsid w:val="00583544"/>
    <w:rsid w:val="005B642D"/>
    <w:rsid w:val="00604965"/>
    <w:rsid w:val="00610FC9"/>
    <w:rsid w:val="0061546C"/>
    <w:rsid w:val="00636EFC"/>
    <w:rsid w:val="00647733"/>
    <w:rsid w:val="00657AD9"/>
    <w:rsid w:val="006D0C9D"/>
    <w:rsid w:val="00713ECF"/>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56D1A"/>
    <w:rsid w:val="00992E60"/>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B90F3F"/>
    <w:rsid w:val="00BB126D"/>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3487E"/>
    <w:rsid w:val="00F465BC"/>
    <w:rsid w:val="00F646F9"/>
    <w:rsid w:val="00F70465"/>
    <w:rsid w:val="00F71629"/>
    <w:rsid w:val="00F778F2"/>
    <w:rsid w:val="00F876B9"/>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phase4ground/documents/tree/master/Engineering/Requirements/Air_Interface" TargetMode="External"/><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diagramData" Target="diagrams/data3.xml"/><Relationship Id="rId23" Type="http://schemas.openxmlformats.org/officeDocument/2006/relationships/diagramLayout" Target="diagrams/layout3.xml"/><Relationship Id="rId24" Type="http://schemas.openxmlformats.org/officeDocument/2006/relationships/diagramQuickStyle" Target="diagrams/quickStyle3.xml"/><Relationship Id="rId25" Type="http://schemas.openxmlformats.org/officeDocument/2006/relationships/diagramColors" Target="diagrams/colors3.xml"/><Relationship Id="rId26" Type="http://schemas.microsoft.com/office/2007/relationships/diagramDrawing" Target="diagrams/drawing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Macintosh%20HD:Users:w5nyv:Documents:documents:Engineering:Requirements:Phase_4_Terms_and_Definitions.docx" TargetMode="External"/><Relationship Id="rId8" Type="http://schemas.openxmlformats.org/officeDocument/2006/relationships/hyperlink" Target="https://www.dvb.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2137</Words>
  <Characters>12186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cp:revision>
  <dcterms:created xsi:type="dcterms:W3CDTF">2016-03-26T16:29:00Z</dcterms:created>
  <dcterms:modified xsi:type="dcterms:W3CDTF">2016-03-29T01:03:00Z</dcterms:modified>
</cp:coreProperties>
</file>