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9C" w:rsidRDefault="008C519C">
      <w:pPr>
        <w:spacing w:before="8" w:after="0" w:line="160" w:lineRule="exact"/>
        <w:rPr>
          <w:sz w:val="16"/>
          <w:szCs w:val="16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4C43E3" w:rsidRDefault="007C5D7E" w:rsidP="004C43E3">
      <w:pPr>
        <w:spacing w:after="0" w:line="322" w:lineRule="auto"/>
        <w:ind w:right="432"/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>AMSAT</w:t>
      </w:r>
      <w:r w:rsidR="00D2301E"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>®</w:t>
      </w:r>
      <w:r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 xml:space="preserve"> </w:t>
      </w:r>
    </w:p>
    <w:p w:rsidR="004C43E3" w:rsidRDefault="007C5D7E" w:rsidP="004C43E3">
      <w:pPr>
        <w:spacing w:after="0" w:line="322" w:lineRule="auto"/>
        <w:ind w:right="432"/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 xml:space="preserve">Emergency </w:t>
      </w:r>
      <w:r w:rsidR="00D2301E"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>C</w:t>
      </w:r>
      <w:r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 xml:space="preserve">ommunications </w:t>
      </w:r>
    </w:p>
    <w:p w:rsidR="004C43E3" w:rsidRDefault="007C5D7E" w:rsidP="004C43E3">
      <w:pPr>
        <w:spacing w:after="0" w:line="322" w:lineRule="auto"/>
        <w:ind w:right="432"/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>Wide-Field-of-</w:t>
      </w:r>
      <w:r w:rsidR="004C43E3"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>V</w:t>
      </w:r>
      <w:r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 xml:space="preserve">iew </w:t>
      </w:r>
    </w:p>
    <w:p w:rsidR="004C43E3" w:rsidRDefault="007C5D7E" w:rsidP="004C43E3">
      <w:pPr>
        <w:spacing w:after="0" w:line="322" w:lineRule="auto"/>
        <w:ind w:right="432"/>
        <w:rPr>
          <w:rFonts w:ascii="Calibri" w:eastAsia="Calibri" w:hAnsi="Calibri" w:cs="Calibri"/>
          <w:b/>
          <w:bCs/>
          <w:color w:val="548DD4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548DD4"/>
          <w:spacing w:val="1"/>
          <w:position w:val="3"/>
          <w:sz w:val="72"/>
          <w:szCs w:val="72"/>
        </w:rPr>
        <w:t>Payload</w:t>
      </w:r>
      <w:r w:rsidR="00F644D0">
        <w:rPr>
          <w:rFonts w:ascii="Calibri" w:eastAsia="Calibri" w:hAnsi="Calibri" w:cs="Calibri"/>
          <w:b/>
          <w:bCs/>
          <w:color w:val="548DD4"/>
          <w:sz w:val="72"/>
          <w:szCs w:val="72"/>
        </w:rPr>
        <w:t xml:space="preserve"> </w:t>
      </w:r>
      <w:r w:rsidR="004C43E3">
        <w:rPr>
          <w:rFonts w:ascii="Calibri" w:eastAsia="Calibri" w:hAnsi="Calibri" w:cs="Calibri"/>
          <w:b/>
          <w:bCs/>
          <w:color w:val="548DD4"/>
          <w:sz w:val="72"/>
          <w:szCs w:val="72"/>
        </w:rPr>
        <w:t>Accommodations</w:t>
      </w:r>
      <w:r>
        <w:rPr>
          <w:rFonts w:ascii="Calibri" w:eastAsia="Calibri" w:hAnsi="Calibri" w:cs="Calibri"/>
          <w:b/>
          <w:bCs/>
          <w:color w:val="548DD4"/>
          <w:sz w:val="72"/>
          <w:szCs w:val="72"/>
        </w:rPr>
        <w:t xml:space="preserve"> Study </w:t>
      </w:r>
    </w:p>
    <w:p w:rsidR="008C519C" w:rsidRDefault="00F644D0" w:rsidP="004C43E3">
      <w:pPr>
        <w:spacing w:after="0" w:line="322" w:lineRule="auto"/>
        <w:ind w:right="360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548DD4"/>
          <w:spacing w:val="1"/>
          <w:sz w:val="40"/>
          <w:szCs w:val="40"/>
        </w:rPr>
        <w:t>R</w:t>
      </w:r>
      <w:r>
        <w:rPr>
          <w:rFonts w:ascii="Calibri" w:eastAsia="Calibri" w:hAnsi="Calibri" w:cs="Calibri"/>
          <w:color w:val="548DD4"/>
          <w:sz w:val="40"/>
          <w:szCs w:val="40"/>
        </w:rPr>
        <w:t>e</w:t>
      </w:r>
      <w:r>
        <w:rPr>
          <w:rFonts w:ascii="Calibri" w:eastAsia="Calibri" w:hAnsi="Calibri" w:cs="Calibri"/>
          <w:color w:val="548DD4"/>
          <w:spacing w:val="1"/>
          <w:sz w:val="40"/>
          <w:szCs w:val="40"/>
        </w:rPr>
        <w:t>qu</w:t>
      </w:r>
      <w:r>
        <w:rPr>
          <w:rFonts w:ascii="Calibri" w:eastAsia="Calibri" w:hAnsi="Calibri" w:cs="Calibri"/>
          <w:color w:val="548DD4"/>
          <w:sz w:val="40"/>
          <w:szCs w:val="40"/>
        </w:rPr>
        <w:t>e</w:t>
      </w:r>
      <w:r>
        <w:rPr>
          <w:rFonts w:ascii="Calibri" w:eastAsia="Calibri" w:hAnsi="Calibri" w:cs="Calibri"/>
          <w:color w:val="548DD4"/>
          <w:spacing w:val="-1"/>
          <w:sz w:val="40"/>
          <w:szCs w:val="40"/>
        </w:rPr>
        <w:t>s</w:t>
      </w:r>
      <w:r>
        <w:rPr>
          <w:rFonts w:ascii="Calibri" w:eastAsia="Calibri" w:hAnsi="Calibri" w:cs="Calibri"/>
          <w:color w:val="548DD4"/>
          <w:sz w:val="40"/>
          <w:szCs w:val="40"/>
        </w:rPr>
        <w:t>t</w:t>
      </w:r>
      <w:r>
        <w:rPr>
          <w:rFonts w:ascii="Calibri" w:eastAsia="Calibri" w:hAnsi="Calibri" w:cs="Calibri"/>
          <w:color w:val="548DD4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548DD4"/>
          <w:sz w:val="40"/>
          <w:szCs w:val="40"/>
        </w:rPr>
        <w:t xml:space="preserve">for </w:t>
      </w:r>
      <w:r>
        <w:rPr>
          <w:rFonts w:ascii="Calibri" w:eastAsia="Calibri" w:hAnsi="Calibri" w:cs="Calibri"/>
          <w:color w:val="548DD4"/>
          <w:spacing w:val="-1"/>
          <w:sz w:val="40"/>
          <w:szCs w:val="40"/>
        </w:rPr>
        <w:t>P</w:t>
      </w:r>
      <w:r>
        <w:rPr>
          <w:rFonts w:ascii="Calibri" w:eastAsia="Calibri" w:hAnsi="Calibri" w:cs="Calibri"/>
          <w:color w:val="548DD4"/>
          <w:spacing w:val="-3"/>
          <w:sz w:val="40"/>
          <w:szCs w:val="40"/>
        </w:rPr>
        <w:t>r</w:t>
      </w:r>
      <w:r>
        <w:rPr>
          <w:rFonts w:ascii="Calibri" w:eastAsia="Calibri" w:hAnsi="Calibri" w:cs="Calibri"/>
          <w:color w:val="548DD4"/>
          <w:sz w:val="40"/>
          <w:szCs w:val="40"/>
        </w:rPr>
        <w:t>o</w:t>
      </w:r>
      <w:r>
        <w:rPr>
          <w:rFonts w:ascii="Calibri" w:eastAsia="Calibri" w:hAnsi="Calibri" w:cs="Calibri"/>
          <w:color w:val="548DD4"/>
          <w:spacing w:val="1"/>
          <w:sz w:val="40"/>
          <w:szCs w:val="40"/>
        </w:rPr>
        <w:t>p</w:t>
      </w:r>
      <w:r>
        <w:rPr>
          <w:rFonts w:ascii="Calibri" w:eastAsia="Calibri" w:hAnsi="Calibri" w:cs="Calibri"/>
          <w:color w:val="548DD4"/>
          <w:sz w:val="40"/>
          <w:szCs w:val="40"/>
        </w:rPr>
        <w:t>o</w:t>
      </w:r>
      <w:r>
        <w:rPr>
          <w:rFonts w:ascii="Calibri" w:eastAsia="Calibri" w:hAnsi="Calibri" w:cs="Calibri"/>
          <w:color w:val="548DD4"/>
          <w:spacing w:val="-1"/>
          <w:sz w:val="40"/>
          <w:szCs w:val="40"/>
        </w:rPr>
        <w:t>s</w:t>
      </w:r>
      <w:r>
        <w:rPr>
          <w:rFonts w:ascii="Calibri" w:eastAsia="Calibri" w:hAnsi="Calibri" w:cs="Calibri"/>
          <w:color w:val="548DD4"/>
          <w:sz w:val="40"/>
          <w:szCs w:val="40"/>
        </w:rPr>
        <w:t>a</w:t>
      </w:r>
      <w:r>
        <w:rPr>
          <w:rFonts w:ascii="Calibri" w:eastAsia="Calibri" w:hAnsi="Calibri" w:cs="Calibri"/>
          <w:color w:val="548DD4"/>
          <w:spacing w:val="-1"/>
          <w:sz w:val="40"/>
          <w:szCs w:val="40"/>
        </w:rPr>
        <w:t>l</w:t>
      </w:r>
      <w:r>
        <w:rPr>
          <w:rFonts w:ascii="Calibri" w:eastAsia="Calibri" w:hAnsi="Calibri" w:cs="Calibri"/>
          <w:color w:val="548DD4"/>
          <w:sz w:val="40"/>
          <w:szCs w:val="40"/>
        </w:rPr>
        <w:t xml:space="preserve"> </w:t>
      </w:r>
    </w:p>
    <w:p w:rsidR="007C5D7E" w:rsidRPr="007C5D7E" w:rsidRDefault="007F351C" w:rsidP="004C43E3">
      <w:pPr>
        <w:spacing w:after="0" w:line="322" w:lineRule="auto"/>
        <w:ind w:right="5038"/>
        <w:rPr>
          <w:rFonts w:ascii="Arial" w:eastAsia="Garamond" w:hAnsi="Arial" w:cs="Arial"/>
          <w:sz w:val="28"/>
          <w:szCs w:val="28"/>
        </w:rPr>
      </w:pPr>
      <w:r>
        <w:rPr>
          <w:rFonts w:ascii="Arial" w:eastAsia="Calibri" w:hAnsi="Arial" w:cs="Arial"/>
          <w:bCs/>
          <w:spacing w:val="1"/>
          <w:position w:val="3"/>
          <w:sz w:val="28"/>
          <w:szCs w:val="28"/>
        </w:rPr>
        <w:t xml:space="preserve">Version 1.0 </w:t>
      </w:r>
      <w:r w:rsidR="007C5D7E">
        <w:rPr>
          <w:rFonts w:ascii="Arial" w:eastAsia="Calibri" w:hAnsi="Arial" w:cs="Arial"/>
          <w:bCs/>
          <w:spacing w:val="1"/>
          <w:position w:val="3"/>
          <w:sz w:val="28"/>
          <w:szCs w:val="28"/>
        </w:rPr>
        <w:t>August 5, 2015</w:t>
      </w:r>
    </w:p>
    <w:p w:rsidR="008C519C" w:rsidRDefault="008C519C">
      <w:pPr>
        <w:spacing w:after="0"/>
        <w:sectPr w:rsidR="008C519C">
          <w:type w:val="continuous"/>
          <w:pgSz w:w="12240" w:h="15840"/>
          <w:pgMar w:top="1480" w:right="1720" w:bottom="280" w:left="1700" w:header="720" w:footer="720" w:gutter="0"/>
          <w:cols w:space="720"/>
        </w:sectPr>
      </w:pPr>
    </w:p>
    <w:p w:rsidR="008C519C" w:rsidRDefault="008C519C">
      <w:pPr>
        <w:spacing w:before="2" w:after="0" w:line="260" w:lineRule="exact"/>
        <w:rPr>
          <w:sz w:val="26"/>
          <w:szCs w:val="26"/>
        </w:rPr>
      </w:pPr>
    </w:p>
    <w:p w:rsidR="008C519C" w:rsidRDefault="00F644D0" w:rsidP="0006475E">
      <w:pPr>
        <w:spacing w:before="25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345A8A"/>
          <w:sz w:val="28"/>
          <w:szCs w:val="28"/>
        </w:rPr>
        <w:t>P</w:t>
      </w:r>
      <w:r>
        <w:rPr>
          <w:rFonts w:ascii="Arial" w:eastAsia="Arial" w:hAnsi="Arial" w:cs="Arial"/>
          <w:b/>
          <w:bCs/>
          <w:color w:val="345A8A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345A8A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345A8A"/>
          <w:spacing w:val="1"/>
          <w:sz w:val="28"/>
          <w:szCs w:val="28"/>
        </w:rPr>
        <w:t>j</w:t>
      </w:r>
      <w:r>
        <w:rPr>
          <w:rFonts w:ascii="Arial" w:eastAsia="Arial" w:hAnsi="Arial" w:cs="Arial"/>
          <w:b/>
          <w:bCs/>
          <w:color w:val="345A8A"/>
          <w:sz w:val="28"/>
          <w:szCs w:val="28"/>
        </w:rPr>
        <w:t>ect</w:t>
      </w:r>
      <w:r>
        <w:rPr>
          <w:rFonts w:ascii="Arial" w:eastAsia="Arial" w:hAnsi="Arial" w:cs="Arial"/>
          <w:b/>
          <w:bCs/>
          <w:color w:val="345A8A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345A8A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345A8A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345A8A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345A8A"/>
          <w:spacing w:val="-3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345A8A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345A8A"/>
          <w:spacing w:val="4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345A8A"/>
          <w:sz w:val="28"/>
          <w:szCs w:val="28"/>
        </w:rPr>
        <w:t>y</w:t>
      </w:r>
    </w:p>
    <w:p w:rsidR="008C519C" w:rsidRDefault="00133F78">
      <w:pPr>
        <w:spacing w:before="50" w:after="0"/>
        <w:ind w:left="120" w:right="156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Radio Amateur Satellite Corp. (“</w:t>
      </w:r>
      <w:r w:rsidR="004C43E3">
        <w:rPr>
          <w:rFonts w:ascii="Garamond" w:eastAsia="Garamond" w:hAnsi="Garamond" w:cs="Garamond"/>
          <w:sz w:val="24"/>
          <w:szCs w:val="24"/>
        </w:rPr>
        <w:t>AMSAT</w:t>
      </w:r>
      <w:r>
        <w:rPr>
          <w:rFonts w:ascii="Garamond" w:eastAsia="Garamond" w:hAnsi="Garamond" w:cs="Garamond"/>
          <w:sz w:val="24"/>
          <w:szCs w:val="24"/>
        </w:rPr>
        <w:t>”)</w:t>
      </w:r>
      <w:r w:rsidR="004C43E3">
        <w:rPr>
          <w:rFonts w:ascii="Garamond" w:eastAsia="Garamond" w:hAnsi="Garamond" w:cs="Garamond"/>
          <w:sz w:val="24"/>
          <w:szCs w:val="24"/>
        </w:rPr>
        <w:t xml:space="preserve"> wishes to participate in a ride</w:t>
      </w:r>
      <w:r w:rsidR="00B07F2A">
        <w:rPr>
          <w:rFonts w:ascii="Garamond" w:eastAsia="Garamond" w:hAnsi="Garamond" w:cs="Garamond"/>
          <w:sz w:val="24"/>
          <w:szCs w:val="24"/>
        </w:rPr>
        <w:t>-</w:t>
      </w:r>
      <w:r w:rsidR="004C43E3">
        <w:rPr>
          <w:rFonts w:ascii="Garamond" w:eastAsia="Garamond" w:hAnsi="Garamond" w:cs="Garamond"/>
          <w:sz w:val="24"/>
          <w:szCs w:val="24"/>
        </w:rPr>
        <w:t>share opportunity as a hosted amateur radio payload on a geosynchronous satellite currently being designed by Millennium Space Systems</w:t>
      </w:r>
      <w:r w:rsidR="008A7543">
        <w:rPr>
          <w:rFonts w:ascii="Garamond" w:eastAsia="Garamond" w:hAnsi="Garamond" w:cs="Garamond"/>
          <w:sz w:val="24"/>
          <w:szCs w:val="24"/>
        </w:rPr>
        <w:t xml:space="preserve"> (MSS)</w:t>
      </w:r>
      <w:r w:rsidR="00F644D0">
        <w:rPr>
          <w:rFonts w:ascii="Garamond" w:eastAsia="Garamond" w:hAnsi="Garamond" w:cs="Garamond"/>
          <w:color w:val="000000"/>
          <w:sz w:val="24"/>
          <w:szCs w:val="24"/>
        </w:rPr>
        <w:t>.</w:t>
      </w:r>
      <w:r w:rsidR="004C43E3">
        <w:rPr>
          <w:rFonts w:ascii="Garamond" w:eastAsia="Garamond" w:hAnsi="Garamond" w:cs="Garamond"/>
          <w:color w:val="000000"/>
          <w:sz w:val="24"/>
          <w:szCs w:val="24"/>
        </w:rPr>
        <w:t xml:space="preserve">  This request is for a study to be conducted by Millennium Space Systems to determine </w:t>
      </w:r>
      <w:r w:rsidR="00B07F2A">
        <w:rPr>
          <w:rFonts w:ascii="Garamond" w:eastAsia="Garamond" w:hAnsi="Garamond" w:cs="Garamond"/>
          <w:color w:val="000000"/>
          <w:sz w:val="24"/>
          <w:szCs w:val="24"/>
        </w:rPr>
        <w:t>feasibility of the ride-share and to determine the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effects on the existing design of the satellite.</w:t>
      </w:r>
    </w:p>
    <w:p w:rsidR="008C519C" w:rsidRDefault="008C519C">
      <w:pPr>
        <w:spacing w:after="0" w:line="200" w:lineRule="exact"/>
        <w:rPr>
          <w:sz w:val="20"/>
          <w:szCs w:val="20"/>
        </w:rPr>
      </w:pPr>
    </w:p>
    <w:p w:rsidR="008C519C" w:rsidRDefault="008C519C">
      <w:pPr>
        <w:spacing w:before="9" w:after="0" w:line="190" w:lineRule="exact"/>
        <w:rPr>
          <w:sz w:val="19"/>
          <w:szCs w:val="19"/>
        </w:rPr>
      </w:pPr>
    </w:p>
    <w:p w:rsidR="008C519C" w:rsidRPr="00B07F2A" w:rsidRDefault="00B07F2A" w:rsidP="0006475E">
      <w:pPr>
        <w:spacing w:after="0" w:line="240" w:lineRule="auto"/>
        <w:ind w:right="-20"/>
        <w:rPr>
          <w:rFonts w:ascii="Arial" w:eastAsia="Arial" w:hAnsi="Arial" w:cs="Arial"/>
          <w:color w:val="365F91" w:themeColor="accent1" w:themeShade="BF"/>
          <w:sz w:val="28"/>
          <w:szCs w:val="28"/>
        </w:rPr>
      </w:pPr>
      <w:r w:rsidRPr="00B07F2A">
        <w:rPr>
          <w:rFonts w:ascii="Arial" w:eastAsia="Arial" w:hAnsi="Arial" w:cs="Arial"/>
          <w:b/>
          <w:bCs/>
          <w:color w:val="365F91" w:themeColor="accent1" w:themeShade="BF"/>
          <w:spacing w:val="1"/>
          <w:sz w:val="28"/>
          <w:szCs w:val="28"/>
        </w:rPr>
        <w:t>Study Statement of Work</w:t>
      </w:r>
    </w:p>
    <w:p w:rsidR="008C519C" w:rsidRDefault="008C519C">
      <w:pPr>
        <w:spacing w:before="18" w:after="0" w:line="240" w:lineRule="exact"/>
        <w:rPr>
          <w:sz w:val="24"/>
          <w:szCs w:val="24"/>
        </w:rPr>
      </w:pPr>
    </w:p>
    <w:p w:rsidR="008344DF" w:rsidRDefault="00B07F2A" w:rsidP="008344DF">
      <w:pPr>
        <w:pStyle w:val="NoSpacing"/>
        <w:rPr>
          <w:rFonts w:ascii="Garamond" w:hAnsi="Garamond"/>
          <w:color w:val="548DD4" w:themeColor="text2" w:themeTint="99"/>
          <w:sz w:val="24"/>
          <w:szCs w:val="24"/>
        </w:rPr>
      </w:pPr>
      <w:r w:rsidRPr="008344DF">
        <w:rPr>
          <w:rStyle w:val="Heading3Char"/>
          <w:rFonts w:ascii="Calibri (heading)" w:hAnsi="Calibri (heading)"/>
          <w:color w:val="548DD4" w:themeColor="text2" w:themeTint="99"/>
        </w:rPr>
        <w:t>Payload Accommodations</w:t>
      </w:r>
      <w:r w:rsidRPr="008344DF">
        <w:rPr>
          <w:rFonts w:ascii="Garamond" w:hAnsi="Garamond"/>
          <w:color w:val="548DD4" w:themeColor="text2" w:themeTint="99"/>
          <w:sz w:val="24"/>
          <w:szCs w:val="24"/>
        </w:rPr>
        <w:t xml:space="preserve"> </w:t>
      </w:r>
    </w:p>
    <w:p w:rsidR="00F03296" w:rsidRDefault="00F03296" w:rsidP="008344DF">
      <w:pPr>
        <w:pStyle w:val="NoSpacing"/>
        <w:ind w:firstLine="360"/>
        <w:rPr>
          <w:rFonts w:ascii="Garamond" w:hAnsi="Garamond"/>
          <w:color w:val="000000"/>
          <w:sz w:val="24"/>
          <w:szCs w:val="24"/>
        </w:rPr>
      </w:pPr>
    </w:p>
    <w:p w:rsidR="008A7543" w:rsidRDefault="008A7543" w:rsidP="008344DF">
      <w:pPr>
        <w:pStyle w:val="NoSpacing"/>
        <w:ind w:firstLine="36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AMSAT will provide information through the </w:t>
      </w:r>
      <w:r w:rsidR="00413259">
        <w:rPr>
          <w:rFonts w:ascii="Garamond" w:hAnsi="Garamond"/>
          <w:color w:val="000000"/>
          <w:sz w:val="24"/>
          <w:szCs w:val="24"/>
        </w:rPr>
        <w:t>documents indicated below</w:t>
      </w:r>
      <w:r>
        <w:rPr>
          <w:rFonts w:ascii="Garamond" w:hAnsi="Garamond"/>
          <w:color w:val="000000"/>
          <w:sz w:val="24"/>
          <w:szCs w:val="24"/>
        </w:rPr>
        <w:t xml:space="preserve"> in order to allow MSS to determine the accommodation and interface of the payload and antennas to the spacecraft including physical, electrical, data, software, and command interfaces, and dead-facing and keep-out zones.</w:t>
      </w:r>
    </w:p>
    <w:p w:rsidR="00413259" w:rsidRDefault="00413259" w:rsidP="008344DF">
      <w:pPr>
        <w:pStyle w:val="NoSpacing"/>
        <w:ind w:firstLine="360"/>
        <w:rPr>
          <w:rFonts w:ascii="Garamond" w:hAnsi="Garamond"/>
          <w:color w:val="000000"/>
          <w:sz w:val="24"/>
          <w:szCs w:val="24"/>
        </w:rPr>
      </w:pPr>
    </w:p>
    <w:p w:rsidR="00413259" w:rsidRDefault="00413259" w:rsidP="00413259">
      <w:pPr>
        <w:pStyle w:val="NoSpacing"/>
        <w:spacing w:after="120"/>
        <w:ind w:firstLine="36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AMSAT Payload Description</w:t>
      </w:r>
    </w:p>
    <w:p w:rsidR="00413259" w:rsidRDefault="00413259" w:rsidP="00413259">
      <w:pPr>
        <w:pStyle w:val="NoSpacing"/>
        <w:spacing w:after="120"/>
        <w:ind w:firstLine="36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AMSAT Payload </w:t>
      </w:r>
      <w:proofErr w:type="spellStart"/>
      <w:r>
        <w:rPr>
          <w:rFonts w:ascii="Garamond" w:hAnsi="Garamond"/>
          <w:color w:val="000000"/>
          <w:sz w:val="24"/>
          <w:szCs w:val="24"/>
        </w:rPr>
        <w:t>Conops</w:t>
      </w:r>
      <w:proofErr w:type="spellEnd"/>
    </w:p>
    <w:p w:rsidR="00413259" w:rsidRDefault="00413259" w:rsidP="00413259">
      <w:pPr>
        <w:pStyle w:val="NoSpacing"/>
        <w:spacing w:after="120"/>
        <w:ind w:firstLine="36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Key Points of Contact and Contact Information</w:t>
      </w:r>
    </w:p>
    <w:p w:rsidR="00413259" w:rsidRDefault="00413259" w:rsidP="00413259">
      <w:pPr>
        <w:pStyle w:val="NoSpacing"/>
        <w:spacing w:after="120"/>
        <w:ind w:firstLine="36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Period of Performance</w:t>
      </w:r>
    </w:p>
    <w:p w:rsidR="008344DF" w:rsidRPr="00B07F2A" w:rsidRDefault="008344DF" w:rsidP="008344DF">
      <w:pPr>
        <w:pStyle w:val="NoSpacing"/>
        <w:rPr>
          <w:rFonts w:ascii="Garamond" w:hAnsi="Garamond"/>
          <w:color w:val="000000"/>
          <w:sz w:val="24"/>
          <w:szCs w:val="24"/>
        </w:rPr>
      </w:pPr>
      <w:bookmarkStart w:id="0" w:name="_GoBack"/>
      <w:bookmarkEnd w:id="0"/>
    </w:p>
    <w:p w:rsidR="00B07F2A" w:rsidRPr="008344DF" w:rsidRDefault="008344DF" w:rsidP="008344DF">
      <w:pPr>
        <w:rPr>
          <w:rFonts w:ascii="Garamond" w:hAnsi="Garamond"/>
          <w:color w:val="000000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>Develop a Preliminary ICD</w:t>
      </w:r>
      <w:r w:rsidRPr="008344DF">
        <w:rPr>
          <w:rStyle w:val="Heading3Char"/>
        </w:rPr>
        <w:t xml:space="preserve"> </w:t>
      </w:r>
      <w:r w:rsidR="00B07F2A" w:rsidRPr="008344DF">
        <w:rPr>
          <w:rFonts w:ascii="Garamond" w:hAnsi="Garamond"/>
          <w:color w:val="000000"/>
        </w:rPr>
        <w:t>(</w:t>
      </w:r>
      <w:r w:rsidR="00F03296">
        <w:rPr>
          <w:rFonts w:ascii="Garamond" w:hAnsi="Garamond"/>
          <w:color w:val="000000"/>
        </w:rPr>
        <w:t>together, based on the above documents</w:t>
      </w:r>
      <w:r w:rsidR="00B07F2A" w:rsidRPr="008344DF">
        <w:rPr>
          <w:rFonts w:ascii="Garamond" w:hAnsi="Garamond"/>
          <w:color w:val="000000"/>
        </w:rPr>
        <w:t>)</w:t>
      </w:r>
    </w:p>
    <w:p w:rsidR="00CD7634" w:rsidRDefault="00CD7634" w:rsidP="008344DF">
      <w:pPr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 xml:space="preserve">Develop a </w:t>
      </w:r>
      <w:r>
        <w:rPr>
          <w:rStyle w:val="Heading3Char"/>
          <w:rFonts w:ascii="Calibri (heading)" w:hAnsi="Calibri (heading)"/>
          <w:color w:val="548DD4" w:themeColor="text2" w:themeTint="99"/>
        </w:rPr>
        <w:t>Preliminary Payload Integration Plan</w:t>
      </w:r>
    </w:p>
    <w:p w:rsidR="00B07F2A" w:rsidRPr="008344DF" w:rsidRDefault="008344DF" w:rsidP="008344DF">
      <w:pPr>
        <w:rPr>
          <w:rFonts w:ascii="Garamond" w:hAnsi="Garamond"/>
          <w:color w:val="000000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 xml:space="preserve">Develop a Cost Estimate for </w:t>
      </w:r>
      <w:r w:rsidR="00CD7634">
        <w:rPr>
          <w:rStyle w:val="Heading3Char"/>
          <w:rFonts w:ascii="Calibri (heading)" w:hAnsi="Calibri (heading)"/>
          <w:color w:val="548DD4" w:themeColor="text2" w:themeTint="99"/>
        </w:rPr>
        <w:t>AMSAT</w:t>
      </w:r>
      <w:r>
        <w:rPr>
          <w:rStyle w:val="Heading3Char"/>
          <w:rFonts w:ascii="Calibri (heading)" w:hAnsi="Calibri (heading)"/>
          <w:color w:val="548DD4" w:themeColor="text2" w:themeTint="99"/>
        </w:rPr>
        <w:t xml:space="preserve"> Payload Integration onto WFOV</w:t>
      </w:r>
      <w:r>
        <w:rPr>
          <w:rFonts w:ascii="Garamond" w:hAnsi="Garamond"/>
          <w:color w:val="000000"/>
        </w:rPr>
        <w:t xml:space="preserve"> </w:t>
      </w:r>
    </w:p>
    <w:p w:rsidR="00B07F2A" w:rsidRPr="00CC6D08" w:rsidRDefault="00CD7634" w:rsidP="00B07F2A">
      <w:pPr>
        <w:tabs>
          <w:tab w:val="left" w:pos="840"/>
        </w:tabs>
        <w:spacing w:after="0" w:line="275" w:lineRule="auto"/>
        <w:ind w:right="1045"/>
        <w:rPr>
          <w:rFonts w:ascii="Arial" w:hAnsi="Arial" w:cs="Arial"/>
          <w:b/>
          <w:color w:val="365F91" w:themeColor="accent1" w:themeShade="BF"/>
          <w:sz w:val="28"/>
          <w:szCs w:val="28"/>
        </w:rPr>
      </w:pPr>
      <w:r w:rsidRPr="00CC6D08">
        <w:rPr>
          <w:rFonts w:ascii="Arial" w:hAnsi="Arial" w:cs="Arial"/>
          <w:b/>
          <w:color w:val="365F91" w:themeColor="accent1" w:themeShade="BF"/>
          <w:sz w:val="28"/>
          <w:szCs w:val="28"/>
        </w:rPr>
        <w:t>Deliverables</w:t>
      </w:r>
    </w:p>
    <w:p w:rsidR="0006475E" w:rsidRDefault="0006475E">
      <w:pPr>
        <w:spacing w:before="19" w:after="0" w:line="220" w:lineRule="exact"/>
        <w:rPr>
          <w:rFonts w:ascii="Arial" w:eastAsia="Arial" w:hAnsi="Arial" w:cs="Arial"/>
          <w:b/>
          <w:bCs/>
          <w:color w:val="365F91" w:themeColor="accent1" w:themeShade="BF"/>
          <w:spacing w:val="1"/>
          <w:sz w:val="28"/>
          <w:szCs w:val="28"/>
        </w:rPr>
      </w:pP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>Preliminary ICD</w:t>
      </w: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>Preliminary Payload Integration Plan</w:t>
      </w: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>Integration Risk Assessment</w:t>
      </w: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ab/>
        <w:t>Technical</w:t>
      </w: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ab/>
        <w:t>Schedule</w:t>
      </w: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>Operational Risk Assessment</w:t>
      </w: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ab/>
        <w:t>Likelihood vs. Consequence of any on-orbit secondary payload flip-outs</w:t>
      </w: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r>
        <w:rPr>
          <w:rStyle w:val="Heading3Char"/>
          <w:rFonts w:ascii="Calibri (heading)" w:hAnsi="Calibri (heading)"/>
          <w:color w:val="548DD4" w:themeColor="text2" w:themeTint="99"/>
        </w:rPr>
        <w:t>Payload Integration Cost Estimate</w:t>
      </w:r>
    </w:p>
    <w:p w:rsidR="0006475E" w:rsidRDefault="0006475E" w:rsidP="00413259">
      <w:pPr>
        <w:spacing w:after="120" w:line="220" w:lineRule="exact"/>
        <w:rPr>
          <w:rStyle w:val="Heading3Char"/>
          <w:rFonts w:ascii="Calibri (heading)" w:hAnsi="Calibri (heading)"/>
          <w:color w:val="548DD4" w:themeColor="text2" w:themeTint="99"/>
        </w:rPr>
      </w:pPr>
      <w:proofErr w:type="spellStart"/>
      <w:r>
        <w:rPr>
          <w:rStyle w:val="Heading3Char"/>
          <w:rFonts w:ascii="Calibri (heading)" w:hAnsi="Calibri (heading)"/>
          <w:color w:val="548DD4" w:themeColor="text2" w:themeTint="99"/>
        </w:rPr>
        <w:t>Outbrief</w:t>
      </w:r>
      <w:proofErr w:type="spellEnd"/>
      <w:r>
        <w:rPr>
          <w:rStyle w:val="Heading3Char"/>
          <w:rFonts w:ascii="Calibri (heading)" w:hAnsi="Calibri (heading)"/>
          <w:color w:val="548DD4" w:themeColor="text2" w:themeTint="99"/>
        </w:rPr>
        <w:t xml:space="preserve"> and Recommendation to Col. Kennedy and the USAF SMC/RSFT Program Office with a “Go/No-Go” Recommendation</w:t>
      </w:r>
    </w:p>
    <w:p w:rsidR="00CD7634" w:rsidRDefault="00CD7634">
      <w:pPr>
        <w:spacing w:before="19" w:after="0" w:line="220" w:lineRule="exact"/>
        <w:rPr>
          <w:rFonts w:ascii="Arial" w:eastAsia="Arial" w:hAnsi="Arial" w:cs="Arial"/>
          <w:b/>
          <w:bCs/>
          <w:color w:val="365F91" w:themeColor="accent1" w:themeShade="BF"/>
          <w:spacing w:val="1"/>
          <w:sz w:val="28"/>
          <w:szCs w:val="28"/>
        </w:rPr>
      </w:pPr>
    </w:p>
    <w:sectPr w:rsidR="00CD7634">
      <w:footerReference w:type="default" r:id="rId7"/>
      <w:pgSz w:w="12240" w:h="15840"/>
      <w:pgMar w:top="1360" w:right="1720" w:bottom="1220" w:left="170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690" w:rsidRDefault="00015690">
      <w:pPr>
        <w:spacing w:after="0" w:line="240" w:lineRule="auto"/>
      </w:pPr>
      <w:r>
        <w:separator/>
      </w:r>
    </w:p>
  </w:endnote>
  <w:endnote w:type="continuationSeparator" w:id="0">
    <w:p w:rsidR="00015690" w:rsidRDefault="0001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heading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19C" w:rsidRDefault="007C5D7E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3754755</wp:posOffset>
              </wp:positionH>
              <wp:positionV relativeFrom="page">
                <wp:posOffset>9260205</wp:posOffset>
              </wp:positionV>
              <wp:extent cx="263525" cy="177800"/>
              <wp:effectExtent l="1905" t="1905" r="127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519C" w:rsidRDefault="00F644D0">
                          <w:pPr>
                            <w:spacing w:after="0" w:line="267" w:lineRule="exact"/>
                            <w:ind w:left="20" w:right="-56"/>
                            <w:rPr>
                              <w:rFonts w:ascii="Garamond" w:eastAsia="Garamond" w:hAnsi="Garamond" w:cs="Garamon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aramond" w:eastAsia="Garamond" w:hAnsi="Garamond" w:cs="Garamond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aramond" w:eastAsia="Garamond" w:hAnsi="Garamond" w:cs="Garamond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E53">
                            <w:rPr>
                              <w:rFonts w:ascii="Garamond" w:eastAsia="Garamond" w:hAnsi="Garamond" w:cs="Garamond"/>
                              <w:noProof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5pt;margin-top:729.15pt;width:20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" filled="f" stroked="f">
              <v:textbox inset="0,0,0,0">
                <w:txbxContent>
                  <w:p w:rsidR="008C519C" w:rsidRDefault="00F644D0">
                    <w:pPr>
                      <w:spacing w:after="0" w:line="267" w:lineRule="exact"/>
                      <w:ind w:left="20" w:right="-56"/>
                      <w:rPr>
                        <w:rFonts w:ascii="Garamond" w:eastAsia="Garamond" w:hAnsi="Garamond" w:cs="Garamond"/>
                        <w:sz w:val="24"/>
                        <w:szCs w:val="24"/>
                      </w:rPr>
                    </w:pPr>
                    <w:r>
                      <w:rPr>
                        <w:rFonts w:ascii="Garamond" w:eastAsia="Garamond" w:hAnsi="Garamond" w:cs="Garamond"/>
                        <w:spacing w:val="-1"/>
                        <w:position w:val="1"/>
                        <w:sz w:val="24"/>
                        <w:szCs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rFonts w:ascii="Garamond" w:eastAsia="Garamond" w:hAnsi="Garamond" w:cs="Garamond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0E53">
                      <w:rPr>
                        <w:rFonts w:ascii="Garamond" w:eastAsia="Garamond" w:hAnsi="Garamond" w:cs="Garamond"/>
                        <w:noProof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690" w:rsidRDefault="00015690">
      <w:pPr>
        <w:spacing w:after="0" w:line="240" w:lineRule="auto"/>
      </w:pPr>
      <w:r>
        <w:separator/>
      </w:r>
    </w:p>
  </w:footnote>
  <w:footnote w:type="continuationSeparator" w:id="0">
    <w:p w:rsidR="00015690" w:rsidRDefault="0001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7158B"/>
    <w:multiLevelType w:val="hybridMultilevel"/>
    <w:tmpl w:val="CAA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7CC5"/>
    <w:multiLevelType w:val="hybridMultilevel"/>
    <w:tmpl w:val="FFFA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9C"/>
    <w:rsid w:val="00015690"/>
    <w:rsid w:val="0006475E"/>
    <w:rsid w:val="00114C95"/>
    <w:rsid w:val="00133F78"/>
    <w:rsid w:val="00413259"/>
    <w:rsid w:val="004829B0"/>
    <w:rsid w:val="00490E53"/>
    <w:rsid w:val="004C43E3"/>
    <w:rsid w:val="00602B04"/>
    <w:rsid w:val="00701464"/>
    <w:rsid w:val="007C5D7E"/>
    <w:rsid w:val="007F351C"/>
    <w:rsid w:val="008344DF"/>
    <w:rsid w:val="008A7543"/>
    <w:rsid w:val="008C519C"/>
    <w:rsid w:val="009E747D"/>
    <w:rsid w:val="00B07F2A"/>
    <w:rsid w:val="00CC6D08"/>
    <w:rsid w:val="00CD7634"/>
    <w:rsid w:val="00D2301E"/>
    <w:rsid w:val="00F03296"/>
    <w:rsid w:val="00F6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B3D956-0F3C-468E-96E1-413DD45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2A"/>
    <w:pPr>
      <w:widowControl/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344DF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44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8344D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Nonprofit Org Web Overhaul</vt:lpstr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Nonprofit Org Web Overhaul</dc:title>
  <dc:creator>Marc Baizman</dc:creator>
  <cp:lastModifiedBy>Jerry Buxton</cp:lastModifiedBy>
  <cp:revision>10</cp:revision>
  <dcterms:created xsi:type="dcterms:W3CDTF">2015-08-06T01:10:00Z</dcterms:created>
  <dcterms:modified xsi:type="dcterms:W3CDTF">2015-08-06T01:35:00Z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2011-01-31T00:00:00Z</vt:filetime>
  </property>
  <property fmtid="{D5CDD505-2E9C-101B-9397-08002B2CF9AE}" pid="3" name="LastSaved">
    <vt:filetime>2015-08-05T00:00:00Z</vt:filetime>
  </property>
  <property fmtid="{D5CDD505-2E9C-101B-9397-08002B2CF9AE}" pid="4" name="Document Revision">
    <vt:lpwstr>1.0</vt:lpwstr>
  </property>
</Properties>
</file>