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C23746">
      <w:r>
        <w:t>Phase 4 Use Cases</w:t>
      </w:r>
    </w:p>
    <w:p w14:paraId="4BFB347D" w14:textId="77777777" w:rsidR="00C23746" w:rsidRDefault="00C23746" w:rsidP="00C23746"/>
    <w:p w14:paraId="7F19793F" w14:textId="77777777" w:rsidR="00C23746" w:rsidRDefault="00C23746" w:rsidP="00C23746">
      <w:r>
        <w:t>Use cases guide development. Development decisions affect use cases.</w:t>
      </w:r>
    </w:p>
    <w:p w14:paraId="0F4D5DED" w14:textId="77777777" w:rsidR="00C23746" w:rsidRDefault="00C23746" w:rsidP="00C23746"/>
    <w:p w14:paraId="26190047" w14:textId="77777777" w:rsidR="00C23746" w:rsidRDefault="00C23746" w:rsidP="00C23746">
      <w:r w:rsidRPr="00C23746">
        <w:drawing>
          <wp:inline distT="0" distB="0" distL="0" distR="0" wp14:anchorId="3C3961EC" wp14:editId="006E6F08">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82C5998" w14:textId="77777777" w:rsidR="00C23746" w:rsidRDefault="00C23746" w:rsidP="00C23746"/>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77777777" w:rsidR="00C23746" w:rsidRDefault="00C23746" w:rsidP="00C23746">
      <w:r>
        <w:t xml:space="preserve">We are assuming operational radios for these use cases. Radios comply with our current understanding of the radio and policy environment. </w:t>
      </w:r>
    </w:p>
    <w:p w14:paraId="38CA65DB" w14:textId="77777777" w:rsidR="00C23746" w:rsidRDefault="00C23746" w:rsidP="00C23746"/>
    <w:p w14:paraId="47B24CAA" w14:textId="77777777" w:rsidR="00C23746" w:rsidRDefault="00C23746" w:rsidP="00C23746">
      <w:r>
        <w:t>Emergency Communications</w:t>
      </w:r>
    </w:p>
    <w:p w14:paraId="1E33E1E3" w14:textId="77777777" w:rsidR="00C23746" w:rsidRDefault="00C23746" w:rsidP="00C23746"/>
    <w:p w14:paraId="476D89EC" w14:textId="68C2AA30" w:rsidR="00C23746" w:rsidRDefault="00C23746" w:rsidP="00C23746">
      <w:r>
        <w:t xml:space="preserve">We are beginning with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lastRenderedPageBreak/>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3CB0A80E" w:rsidR="003C64CB" w:rsidRDefault="003C64CB" w:rsidP="00C23746">
      <w:r>
        <w:t xml:space="preserve">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 decisions as easy as possible. </w:t>
      </w:r>
      <w:bookmarkStart w:id="0" w:name="_GoBack"/>
      <w:bookmarkEnd w:id="0"/>
    </w:p>
    <w:sectPr w:rsidR="003C64CB"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3C64CB"/>
    <w:rsid w:val="00430E3A"/>
    <w:rsid w:val="00432B88"/>
    <w:rsid w:val="00645204"/>
    <w:rsid w:val="00716E39"/>
    <w:rsid w:val="009235D5"/>
    <w:rsid w:val="00C23746"/>
    <w:rsid w:val="00DD43CF"/>
    <w:rsid w:val="00F0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pt>
    <dgm:pt modelId="{44931CBA-E311-1442-AE62-7B3DFB91B69C}" type="pres">
      <dgm:prSet presAssocID="{BA9554FD-98A5-BA4B-A470-8C549FA888EA}" presName="arrow" presStyleLbl="node1" presStyleIdx="0" presStyleCnt="2">
        <dgm:presLayoutVars>
          <dgm:bulletEnabled val="1"/>
        </dgm:presLayoutVars>
      </dgm:prSet>
      <dgm:spPr/>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A4B11CD6-874C-9A4E-8A0C-704F584B5CCE}" type="presOf" srcId="{7B8A1272-277F-F343-9E26-F35EFAF0DF68}" destId="{C94EA533-6B2B-5543-9F36-97F96BD21343}" srcOrd="0" destOrd="0" presId="urn:microsoft.com/office/officeart/2005/8/layout/arrow5"/>
    <dgm:cxn modelId="{5E6C70E9-E963-A949-BA8E-A8BEF01AFECE}" type="presOf" srcId="{BA9554FD-98A5-BA4B-A470-8C549FA888EA}" destId="{44931CBA-E311-1442-AE62-7B3DFB91B69C}"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1666</Characters>
  <Application>Microsoft Macintosh Word</Application>
  <DocSecurity>0</DocSecurity>
  <Lines>13</Lines>
  <Paragraphs>3</Paragraphs>
  <ScaleCrop>false</ScaleCrop>
  <Company>Optimized Tomfoolery</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Michelle Thompson</cp:lastModifiedBy>
  <cp:revision>5</cp:revision>
  <dcterms:created xsi:type="dcterms:W3CDTF">2015-11-10T18:17:00Z</dcterms:created>
  <dcterms:modified xsi:type="dcterms:W3CDTF">2015-11-10T19:15:00Z</dcterms:modified>
</cp:coreProperties>
</file>