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총원가 관리연결결산 프로세스 혁신(PI) 설계서</w:t>
      </w:r>
    </w:p>
    <w:p>
      <w:r>
        <w:t>본 문서는 수기 기반 관리연결결산을 원가추적번호 기반 자동 물동 추적 체계로 전환하기 위한 설계 내용을 정의한다.</w:t>
      </w:r>
    </w:p>
    <w:p>
      <w:pPr>
        <w:pStyle w:val="Heading1"/>
      </w:pPr>
      <w:r>
        <w:t>1. 현황 및 문제점</w:t>
      </w:r>
    </w:p>
    <w:p>
      <w:r>
        <w:t>현재 전 법인 관리연결결산은 각 법인 담당자가 엑셀로 물동 내역을 취합한 뒤 본사가 수기로 대조하는 방식으로 수행된다.</w:t>
      </w:r>
    </w:p>
    <w:p>
      <w:r>
        <w:t>법인별 원가 집계 기준이 상이하여 결산 마감까지 평균 5영업일이 소요되고 재작업이 빈번하다.</w:t>
      </w:r>
    </w:p>
    <w:p>
      <w:pPr>
        <w:pStyle w:val="ListBullet"/>
      </w:pPr>
      <w:r>
        <w:t>법인별 상이한 원가 코드 체계로 매핑 오류 발생</w:t>
      </w:r>
    </w:p>
    <w:p>
      <w:pPr>
        <w:pStyle w:val="ListBullet"/>
      </w:pPr>
      <w:r>
        <w:t>수작업 취합으로 마감 지연(평균 5일)</w:t>
      </w:r>
    </w:p>
    <w:p>
      <w:pPr>
        <w:pStyle w:val="ListBullet"/>
      </w:pPr>
      <w:r>
        <w:t>감사 대응 시 추적 근거 자료 확보 어려움</w:t>
      </w:r>
    </w:p>
    <w:p>
      <w:pPr>
        <w:pStyle w:val="Heading1"/>
      </w:pPr>
      <w:r>
        <w:t>2. 원가추적번호(Cost Trace No.) 체계</w:t>
      </w:r>
    </w:p>
    <w:p>
      <w:r>
        <w:t>전 법인 공통의 원가추적번호를 발번하여 원자재 이동부터 완제품 판매까지 전 구간의 물동을 하나의 키로 연결한다.</w:t>
      </w:r>
    </w:p>
    <w:p>
      <w:r>
        <w:t>원가추적번호는 발생법인, 품목군, 순번으로 구성되어 법인 간 이관 시에도 동일하게 유지된다.</w:t>
      </w:r>
    </w:p>
    <w:p>
      <w:pPr>
        <w:pStyle w:val="ListBullet"/>
      </w:pPr>
      <w:r>
        <w:t>구성: 발생법인코드(3) + 품목군코드(4) + 순번(6)</w:t>
      </w:r>
    </w:p>
    <w:p>
      <w:pPr>
        <w:pStyle w:val="ListBullet"/>
      </w:pPr>
      <w:r>
        <w:t>전 법인 ERP 전표 생성 시 필수 입력 항목으로 지정</w:t>
      </w:r>
    </w:p>
    <w:p>
      <w:pPr>
        <w:pStyle w:val="ListBullet"/>
      </w:pPr>
      <w:r>
        <w:t>기존 원가센터 코드와의 매핑 테이블 병행 운영</w:t>
      </w:r>
    </w:p>
    <w:p>
      <w:pPr>
        <w:pStyle w:val="Heading2"/>
      </w:pPr>
      <w:r>
        <w:t>2.1 전 법인 물동 추적 흐름</w:t>
      </w:r>
    </w:p>
    <w:p>
      <w:r>
        <w:t>원자재가 A법인에서 B법인으로 이관될 때 원가추적번호가 함께 승계되어 이관 손익을 자동 산출한다.</w:t>
      </w:r>
    </w:p>
    <w:p>
      <w:r>
        <w:t>물동 추적 대시보드는 추적번호별 현재 위치, 누적원가, 이관 이력을 실시간으로 제공한다.</w:t>
      </w:r>
    </w:p>
    <w:p>
      <w:pPr>
        <w:pStyle w:val="ListBullet"/>
      </w:pPr>
      <w:r>
        <w:t>이관 시 원가추적번호 자동 승계</w:t>
      </w:r>
    </w:p>
    <w:p>
      <w:pPr>
        <w:pStyle w:val="ListBullet"/>
      </w:pPr>
      <w:r>
        <w:t>실시간 물동 대시보드 제공</w:t>
      </w:r>
    </w:p>
    <w:p>
      <w:pPr>
        <w:pStyle w:val="ListBullet"/>
      </w:pPr>
      <w:r>
        <w:t>이관손익 자동 산출로 수기 대사 제거</w:t>
      </w:r>
    </w:p>
    <w:p>
      <w:pPr>
        <w:pStyle w:val="Heading1"/>
      </w:pPr>
      <w:r>
        <w:t>3. 간접비 배부 설계</w:t>
      </w:r>
    </w:p>
    <w:p>
      <w:r>
        <w:t>간접비는 활동기준원가(ABC) 방식을 준용하여 부문별 실제 활동량 기준으로 배부한다.</w:t>
      </w:r>
    </w:p>
    <w:p>
      <w:r>
        <w:t>공통 지원부서 비용은 매출액과 인원수를 혼합한 배부동인을 적용한다.</w:t>
      </w:r>
    </w:p>
    <w:p>
      <w:pPr>
        <w:pStyle w:val="ListBullet"/>
      </w:pPr>
      <w:r>
        <w:t>생산부문: 작업시간 기준 배부</w:t>
      </w:r>
    </w:p>
    <w:p>
      <w:pPr>
        <w:pStyle w:val="ListBullet"/>
      </w:pPr>
      <w:r>
        <w:t>지원부문: 매출액 70% + 인원수 30% 혼합배부</w:t>
      </w:r>
    </w:p>
    <w:p>
      <w:pPr>
        <w:pStyle w:val="ListBullet"/>
      </w:pPr>
      <w:r>
        <w:t>IT 인프라 비용: 서버 사용량 기준 배부</w:t>
      </w:r>
    </w:p>
    <w:p>
      <w:pPr>
        <w:pStyle w:val="Heading2"/>
      </w:pPr>
      <w:r>
        <w:t>3.1 법인간 비용배분 기준</w:t>
      </w:r>
    </w:p>
    <w:p>
      <w:r>
        <w:t>법인 간 공유 비용(공동 R&amp;D, 공통 IT 시스템 등)은 사전 계약된 배분비율표에 따라 매월 자동 배분한다.</w:t>
      </w:r>
    </w:p>
    <w:p>
      <w:r>
        <w:t>배분비율은 연 1회 실제 사용량을 재측정하여 갱신한다.</w:t>
      </w:r>
    </w:p>
    <w:p>
      <w:pPr>
        <w:pStyle w:val="ListBullet"/>
      </w:pPr>
      <w:r>
        <w:t>공동 R&amp;D 비용: 법인별 매출 비중으로 배분</w:t>
      </w:r>
    </w:p>
    <w:p>
      <w:pPr>
        <w:pStyle w:val="ListBullet"/>
      </w:pPr>
      <w:r>
        <w:t>공통 IT 비용: 사용자수 비중으로 배분</w:t>
      </w:r>
    </w:p>
    <w:p>
      <w:pPr>
        <w:pStyle w:val="ListBullet"/>
      </w:pPr>
      <w:r>
        <w:t>연 1회 배분비율 재산정</w:t>
      </w:r>
    </w:p>
    <w:p>
      <w:pPr>
        <w:pStyle w:val="Heading1"/>
      </w:pPr>
      <w:r>
        <w:t>4. 시스템 반영 방안</w:t>
      </w:r>
    </w:p>
    <w:p>
      <w:r>
        <w:t>ERP 전표 입력 화면에 원가추적번호 필드를 추가하고 필수값 검증 로직을 반영한다.</w:t>
      </w:r>
    </w:p>
    <w:p>
      <w:r>
        <w:t>관리연결결산 리포트는 원가추적번호 기준으로 자동 집계되도록 재설계한다.</w:t>
      </w:r>
    </w:p>
    <w:p>
      <w:pPr>
        <w:pStyle w:val="ListBullet"/>
      </w:pPr>
      <w:r>
        <w:t>ERP 전표 화면 필드 추가</w:t>
      </w:r>
    </w:p>
    <w:p>
      <w:pPr>
        <w:pStyle w:val="ListBullet"/>
      </w:pPr>
      <w:r>
        <w:t>결산 리포트 자동 집계 로직 개발</w:t>
      </w:r>
    </w:p>
    <w:p>
      <w:pPr>
        <w:pStyle w:val="ListBullet"/>
      </w:pPr>
      <w:r>
        <w:t>기존 수기 취합 시트 단계적 폐지</w:t>
      </w:r>
    </w:p>
    <w:p>
      <w:pPr>
        <w:pStyle w:val="Heading1"/>
      </w:pPr>
      <w:r>
        <w:t>5. 기대 효과 및 리스크</w:t>
      </w:r>
    </w:p>
    <w:p>
      <w:r>
        <w:t>자동화를 통해 결산 마감 기간을 5일에서 2일로 단축하고 감사 대응 자료를 실시간 확보할 수 있다.</w:t>
      </w:r>
    </w:p>
    <w:p>
      <w:r>
        <w:t>다만 전 법인 동시 전환 시 초기 데이터 정합성 오류 리스크가 존재하여 파일럿 적용이 필요하다.</w:t>
      </w:r>
    </w:p>
    <w:p>
      <w:pPr>
        <w:pStyle w:val="ListBullet"/>
      </w:pPr>
      <w:r>
        <w:t>기대효과: 마감기간 60% 단축</w:t>
      </w:r>
    </w:p>
    <w:p>
      <w:pPr>
        <w:pStyle w:val="ListBullet"/>
      </w:pPr>
      <w:r>
        <w:t>기대효과: 감사 대응 시간 단축</w:t>
      </w:r>
    </w:p>
    <w:p>
      <w:pPr>
        <w:pStyle w:val="ListBullet"/>
      </w:pPr>
      <w:r>
        <w:t>리스크: 초기 데이터 정합성 오류 가능성</w:t>
      </w:r>
    </w:p>
    <w:p>
      <w:pPr>
        <w:pStyle w:val="Heading1"/>
      </w:pPr>
      <w:r>
        <w:t>변경 이력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