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VLB(Value Ledger Bridge) ICO 마케팅 실행계획서</w:t>
      </w:r>
    </w:p>
    <w:p>
      <w:r>
        <w:t>본 문서는 ETH 기반 VLB 토큰 ICO의 실행 전략, 채널 계획, 일정, 컴플라이언스 대응 방안을 정의한다.</w:t>
      </w:r>
    </w:p>
    <w:p>
      <w:pPr>
        <w:pStyle w:val="Heading1"/>
      </w:pPr>
      <w:r>
        <w:t>1. 프로젝트 개요</w:t>
      </w:r>
    </w:p>
    <w:p>
      <w:r>
        <w:t>VLB(Value Ledger Bridge)는 이더리움 기반의 크로스체인 정산 인프라 프로젝트로 기업 간 무역대금 결제 지연 문제 해결을 목표로 한다.</w:t>
      </w:r>
    </w:p>
    <w:p>
      <w:r>
        <w:t>ICO를 통해 초기 개발 자금을 조달하고 초기 생태계 참여자를 확보하는 것을 목적으로 한다.</w:t>
      </w:r>
    </w:p>
    <w:p>
      <w:pPr>
        <w:pStyle w:val="ListBullet"/>
      </w:pPr>
      <w:r>
        <w:t>목표 조달금액: 3,000 ETH</w:t>
      </w:r>
    </w:p>
    <w:p>
      <w:pPr>
        <w:pStyle w:val="ListBullet"/>
      </w:pPr>
      <w:r>
        <w:t>발행 체인: Ethereum(ERC-20)</w:t>
      </w:r>
    </w:p>
    <w:p>
      <w:pPr>
        <w:pStyle w:val="ListBullet"/>
      </w:pPr>
      <w:r>
        <w:t>주요 타깃: 무역금융/공급망 기업</w:t>
      </w:r>
    </w:p>
    <w:p>
      <w:pPr>
        <w:pStyle w:val="Heading1"/>
      </w:pPr>
      <w:r>
        <w:t>2. 토큰이코노미</w:t>
      </w:r>
    </w:p>
    <w:p>
      <w:r>
        <w:t>VLB 토큰 총 발행량은 10억개로 고정하며 팀, 어드바이저, 생태계 펀드, 퍼블릭 세일로 배분한다.</w:t>
      </w:r>
    </w:p>
    <w:p>
      <w:r>
        <w:t>팀 및 어드바이저 물량은 12개월 클리프 이후 24개월에 걸쳐 선형 베스팅된다.</w:t>
      </w:r>
    </w:p>
    <w:p>
      <w:pPr>
        <w:pStyle w:val="ListBullet"/>
      </w:pPr>
      <w:r>
        <w:t>총 발행량 10억개 고정</w:t>
      </w:r>
    </w:p>
    <w:p>
      <w:pPr>
        <w:pStyle w:val="ListBullet"/>
      </w:pPr>
      <w:r>
        <w:t>팀 물량 12개월 클리프+24개월 베스팅</w:t>
      </w:r>
    </w:p>
    <w:p>
      <w:pPr>
        <w:pStyle w:val="ListBullet"/>
      </w:pPr>
      <w:r>
        <w:t>생태계 펀드는 파트너십 확대에 사용</w:t>
      </w:r>
    </w:p>
    <w:p>
      <w:pPr>
        <w:pStyle w:val="Heading2"/>
      </w:pPr>
      <w:r>
        <w:t>2.1 ETH기반 스마트컨트랙트 구조</w:t>
      </w:r>
    </w:p>
    <w:p>
      <w:r>
        <w:t>ICO 컨트랙트는 화이트리스트 검증, 모금 한도 관리, 자동 토큰 분배 기능을 포함한 단계별 세일 구조로 설계한다.</w:t>
      </w:r>
    </w:p>
    <w:p>
      <w:r>
        <w:t>보안 강화를 위해 외부 감사법인의 스마트컨트랙트 감사를 세일 개시 전 완료한다.</w:t>
      </w:r>
    </w:p>
    <w:p>
      <w:pPr>
        <w:pStyle w:val="ListBullet"/>
      </w:pPr>
      <w:r>
        <w:t>화이트리스트 기반 참여 제한</w:t>
      </w:r>
    </w:p>
    <w:p>
      <w:pPr>
        <w:pStyle w:val="ListBullet"/>
      </w:pPr>
      <w:r>
        <w:t>단계별 세일(프라이빗/프리세일/퍼블릭)</w:t>
      </w:r>
    </w:p>
    <w:p>
      <w:pPr>
        <w:pStyle w:val="ListBullet"/>
      </w:pPr>
      <w:r>
        <w:t>감사법인 사전 감사 필수</w:t>
      </w:r>
    </w:p>
    <w:p>
      <w:pPr>
        <w:pStyle w:val="Heading1"/>
      </w:pPr>
      <w:r>
        <w:t>3. 마케팅 채널 전략</w:t>
      </w:r>
    </w:p>
    <w:p>
      <w:r>
        <w:t>채널 전략은 커뮤니티 채널(텔레그램/디스코드), 미디어 채널(암호화폐 전문매체), 파트너십 채널(거래소/인플루언서)로 구분한다.</w:t>
      </w:r>
    </w:p>
    <w:p>
      <w:r>
        <w:t>각 채널은 단계별 목표와 예산을 배정하여 세일 진행 상황에 따라 탄력적으로 운영한다.</w:t>
      </w:r>
    </w:p>
    <w:p>
      <w:pPr>
        <w:pStyle w:val="ListBullet"/>
      </w:pPr>
      <w:r>
        <w:t>커뮤니티: 텔레그램/디스코드 AMA 운영</w:t>
      </w:r>
    </w:p>
    <w:p>
      <w:pPr>
        <w:pStyle w:val="ListBullet"/>
      </w:pPr>
      <w:r>
        <w:t>미디어: 암호화폐 전문매체 기고 및 보도</w:t>
      </w:r>
    </w:p>
    <w:p>
      <w:pPr>
        <w:pStyle w:val="ListBullet"/>
      </w:pPr>
      <w:r>
        <w:t>파트너십: 거래소 상장 및 인플루언서 협업</w:t>
      </w:r>
    </w:p>
    <w:p>
      <w:pPr>
        <w:pStyle w:val="Heading2"/>
      </w:pPr>
      <w:r>
        <w:t>3.1 단계별 일정</w:t>
      </w:r>
    </w:p>
    <w:p>
      <w:r>
        <w:t>ICO는 프라이빗 세일, 프리세일, 퍼블릭 세일의 3단계로 진행하며 각 단계별 가격을 차등 적용한다.</w:t>
      </w:r>
    </w:p>
    <w:p>
      <w:r>
        <w:t>퍼블릭 세일 종료 후 2주 이내 주요 거래소 상장을 목표로 한다.</w:t>
      </w:r>
    </w:p>
    <w:p>
      <w:pPr>
        <w:pStyle w:val="ListBullet"/>
      </w:pPr>
      <w:r>
        <w:t>프라이빗 세일: 4주</w:t>
      </w:r>
    </w:p>
    <w:p>
      <w:pPr>
        <w:pStyle w:val="ListBullet"/>
      </w:pPr>
      <w:r>
        <w:t>프리세일: 2주</w:t>
      </w:r>
    </w:p>
    <w:p>
      <w:pPr>
        <w:pStyle w:val="ListBullet"/>
      </w:pPr>
      <w:r>
        <w:t>퍼블릭 세일: 1주</w:t>
      </w:r>
    </w:p>
    <w:p>
      <w:pPr>
        <w:pStyle w:val="ListBullet"/>
      </w:pPr>
      <w:r>
        <w:t>거래소 상장: 세일 종료 후 2주 이내</w:t>
      </w:r>
    </w:p>
    <w:p>
      <w:pPr>
        <w:pStyle w:val="Heading1"/>
      </w:pPr>
      <w:r>
        <w:t>4. 커뮤니티 및 IR 운영</w:t>
      </w:r>
    </w:p>
    <w:p>
      <w:r>
        <w:t>주간 AMA와 월간 개발 진행 리포트를 통해 커뮤니티와 투명하게 소통한다.</w:t>
      </w:r>
    </w:p>
    <w:p>
      <w:r>
        <w:t>기관 투자자 대상으로는 별도 IR 덱과 1:1 미팅을 병행하여 신뢰도를 확보한다.</w:t>
      </w:r>
    </w:p>
    <w:p>
      <w:pPr>
        <w:pStyle w:val="ListBullet"/>
      </w:pPr>
      <w:r>
        <w:t>주간 AMA 운영</w:t>
      </w:r>
    </w:p>
    <w:p>
      <w:pPr>
        <w:pStyle w:val="ListBullet"/>
      </w:pPr>
      <w:r>
        <w:t>월간 개발 진행 리포트 발행</w:t>
      </w:r>
    </w:p>
    <w:p>
      <w:pPr>
        <w:pStyle w:val="ListBullet"/>
      </w:pPr>
      <w:r>
        <w:t>기관투자자 대상 별도 IR 미팅</w:t>
      </w:r>
    </w:p>
    <w:p>
      <w:pPr>
        <w:pStyle w:val="Heading1"/>
      </w:pPr>
      <w:r>
        <w:t>5. 리스크 및 컴플라이언스</w:t>
      </w:r>
    </w:p>
    <w:p>
      <w:r>
        <w:t>국가별 증권성 판단 리스크를 고려하여 미국, 중국 등 규제 강도가 높은 지역 거주자의 참여를 제한한다.</w:t>
      </w:r>
    </w:p>
    <w:p>
      <w:r>
        <w:t>AML/KYC 절차를 전 참여자에게 의무화하여 자금세탁 리스크를 최소화한다.</w:t>
      </w:r>
    </w:p>
    <w:p>
      <w:pPr>
        <w:pStyle w:val="ListBullet"/>
      </w:pPr>
      <w:r>
        <w:t>증권성 이슈 지역 참여 제한(지오블로킹)</w:t>
      </w:r>
    </w:p>
    <w:p>
      <w:pPr>
        <w:pStyle w:val="ListBullet"/>
      </w:pPr>
      <w:r>
        <w:t>전 참여자 AML/KYC 의무화</w:t>
      </w:r>
    </w:p>
    <w:p>
      <w:pPr>
        <w:pStyle w:val="ListBullet"/>
      </w:pPr>
      <w:r>
        <w:t>법률자문단 상시 자문 체계 운영</w:t>
      </w:r>
    </w:p>
    <w:p>
      <w:pPr>
        <w:pStyle w:val="Heading1"/>
      </w:pPr>
      <w:r>
        <w:t>변경 이력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