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투자 의사결정 대시보드 기획서</w:t>
      </w:r>
    </w:p>
    <w:p>
      <w:r>
        <w:t>본 문서는 거시경제 패널과 종목 펀더멘털 패널로 구성된 투자 의사결정 지원 대시보드의 기획 내용을 정의한다.</w:t>
      </w:r>
    </w:p>
    <w:p>
      <w:pPr>
        <w:pStyle w:val="Heading1"/>
      </w:pPr>
      <w:r>
        <w:t>1. 배경 및 목적</w:t>
      </w:r>
    </w:p>
    <w:p>
      <w:r>
        <w:t>투자 담당자들이 거시지표와 종목 재무데이터를 각기 다른 화면에서 확인하여 의사결정 속도가 저하되고 있다.</w:t>
      </w:r>
    </w:p>
    <w:p>
      <w:r>
        <w:t>본 대시보드는 거시경제 패널과 종목 펀더멘털 패널을 하나의 화면에서 교차 분석할 수 있도록 통합한다.</w:t>
      </w:r>
    </w:p>
    <w:p>
      <w:pPr>
        <w:pStyle w:val="ListBullet"/>
      </w:pPr>
      <w:r>
        <w:t>거시/종목 데이터 분산으로 의사결정 지연</w:t>
      </w:r>
    </w:p>
    <w:p>
      <w:pPr>
        <w:pStyle w:val="ListBullet"/>
      </w:pPr>
      <w:r>
        <w:t>교차분석 기능 부재</w:t>
      </w:r>
    </w:p>
    <w:p>
      <w:pPr>
        <w:pStyle w:val="ListBullet"/>
      </w:pPr>
      <w:r>
        <w:t>실시간성 부족</w:t>
      </w:r>
    </w:p>
    <w:p>
      <w:pPr>
        <w:pStyle w:val="Heading1"/>
      </w:pPr>
      <w:r>
        <w:t>2. 거시경제 패널 구성</w:t>
      </w:r>
    </w:p>
    <w:p>
      <w:r>
        <w:t>거시경제 패널은 금리, 환율, 물가, 유동성 지표를 카테고리별로 배치하여 매크로 사이클을 한눈에 파악할 수 있게 한다.</w:t>
      </w:r>
    </w:p>
    <w:p>
      <w:r>
        <w:t>각 지표는 전월/전년 대비 변화율과 함께 표시되어 추세 판단을 돕는다.</w:t>
      </w:r>
    </w:p>
    <w:p>
      <w:pPr>
        <w:pStyle w:val="ListBullet"/>
      </w:pPr>
      <w:r>
        <w:t>금리: 기준금리, 국채금리 스프레드</w:t>
      </w:r>
    </w:p>
    <w:p>
      <w:pPr>
        <w:pStyle w:val="ListBullet"/>
      </w:pPr>
      <w:r>
        <w:t>환율: 원/달러, 원/엔</w:t>
      </w:r>
    </w:p>
    <w:p>
      <w:pPr>
        <w:pStyle w:val="ListBullet"/>
      </w:pPr>
      <w:r>
        <w:t>물가: CPI, PPI</w:t>
      </w:r>
    </w:p>
    <w:p>
      <w:pPr>
        <w:pStyle w:val="ListBullet"/>
      </w:pPr>
      <w:r>
        <w:t>유동성: M2 증가율</w:t>
      </w:r>
    </w:p>
    <w:p>
      <w:pPr>
        <w:pStyle w:val="Heading2"/>
      </w:pPr>
      <w:r>
        <w:t>2.1 지표선정기준</w:t>
      </w:r>
    </w:p>
    <w:p>
      <w:r>
        <w:t>지표 선정은 데이터 신뢰성(공신력 있는 기관 발표), 갱신주기, 시장 영향력을 기준으로 평가한다.</w:t>
      </w:r>
    </w:p>
    <w:p>
      <w:r>
        <w:t>신규 지표 추가 요청은 분기별 검토위원회를 통해 승인한다.</w:t>
      </w:r>
    </w:p>
    <w:p>
      <w:pPr>
        <w:pStyle w:val="ListBullet"/>
      </w:pPr>
      <w:r>
        <w:t>공신력 있는 기관 발표 자료 우선</w:t>
      </w:r>
    </w:p>
    <w:p>
      <w:pPr>
        <w:pStyle w:val="ListBullet"/>
      </w:pPr>
      <w:r>
        <w:t>갱신주기 월 1회 이상</w:t>
      </w:r>
    </w:p>
    <w:p>
      <w:pPr>
        <w:pStyle w:val="ListBullet"/>
      </w:pPr>
      <w:r>
        <w:t>분기별 지표 검토위원회 운영</w:t>
      </w:r>
    </w:p>
    <w:p>
      <w:pPr>
        <w:pStyle w:val="Heading1"/>
      </w:pPr>
      <w:r>
        <w:t>3. 종목 펀더멘털 패널 구성</w:t>
      </w:r>
    </w:p>
    <w:p>
      <w:r>
        <w:t>종목 패널은 밸류에이션 지표, 수익성 지표, 성장성 지표, 재무안정성 지표의 4개 그룹으로 구성한다.</w:t>
      </w:r>
    </w:p>
    <w:p>
      <w:r>
        <w:t>업종 평균 대비 상대 위치를 함께 표시하여 종목 스크리닝에 활용할 수 있도록 한다.</w:t>
      </w:r>
    </w:p>
    <w:p>
      <w:pPr>
        <w:pStyle w:val="ListBullet"/>
      </w:pPr>
      <w:r>
        <w:t>밸류에이션: PER, PBR, EV/EBITDA</w:t>
      </w:r>
    </w:p>
    <w:p>
      <w:pPr>
        <w:pStyle w:val="ListBullet"/>
      </w:pPr>
      <w:r>
        <w:t>수익성: ROE, 영업이익률</w:t>
      </w:r>
    </w:p>
    <w:p>
      <w:pPr>
        <w:pStyle w:val="ListBullet"/>
      </w:pPr>
      <w:r>
        <w:t>성장성: 매출성장률, EPS성장률</w:t>
      </w:r>
    </w:p>
    <w:p>
      <w:pPr>
        <w:pStyle w:val="ListBullet"/>
      </w:pPr>
      <w:r>
        <w:t>재무안정성: 부채비율, 유동비율</w:t>
      </w:r>
    </w:p>
    <w:p>
      <w:pPr>
        <w:pStyle w:val="Heading2"/>
      </w:pPr>
      <w:r>
        <w:t>3.1 재무지표 정의</w:t>
      </w:r>
    </w:p>
    <w:p>
      <w:r>
        <w:t>재무지표는 최근 4개 분기 합산(TTM) 기준을 원칙으로 하며 일회성 손익은 조정하여 산출한다.</w:t>
      </w:r>
    </w:p>
    <w:p>
      <w:r>
        <w:t>업종 분류는 GICS 기준을 채택하여 업종 평균 산출의 일관성을 확보한다.</w:t>
      </w:r>
    </w:p>
    <w:p>
      <w:pPr>
        <w:pStyle w:val="ListBullet"/>
      </w:pPr>
      <w:r>
        <w:t>TTM 기준 산출 원칙</w:t>
      </w:r>
    </w:p>
    <w:p>
      <w:pPr>
        <w:pStyle w:val="ListBullet"/>
      </w:pPr>
      <w:r>
        <w:t>일회성 손익 조정 반영</w:t>
      </w:r>
    </w:p>
    <w:p>
      <w:pPr>
        <w:pStyle w:val="ListBullet"/>
      </w:pPr>
      <w:r>
        <w:t>GICS 업종분류 채택</w:t>
      </w:r>
    </w:p>
    <w:p>
      <w:pPr>
        <w:pStyle w:val="Heading1"/>
      </w:pPr>
      <w:r>
        <w:t>4. 화면 구성 및 UX</w:t>
      </w:r>
    </w:p>
    <w:p>
      <w:r>
        <w:t>메인 화면은 좌측 거시경제 패널, 우측 종목 펀더멘털 패널로 분할하여 동시 비교가 가능하도록 설계한다.</w:t>
      </w:r>
    </w:p>
    <w:p>
      <w:r>
        <w:t>관심종목 리스트를 상단에 고정하여 반복 조회 편의성을 높인다.</w:t>
      </w:r>
    </w:p>
    <w:p>
      <w:pPr>
        <w:pStyle w:val="ListBullet"/>
      </w:pPr>
      <w:r>
        <w:t>좌측 거시패널, 우측 종목패널</w:t>
      </w:r>
    </w:p>
    <w:p>
      <w:pPr>
        <w:pStyle w:val="ListBullet"/>
      </w:pPr>
      <w:r>
        <w:t>관심종목 상단 고정</w:t>
      </w:r>
    </w:p>
    <w:p>
      <w:pPr>
        <w:pStyle w:val="ListBullet"/>
      </w:pPr>
      <w:r>
        <w:t>지표 클릭 시 상세 차트 팝업</w:t>
      </w:r>
    </w:p>
    <w:p>
      <w:pPr>
        <w:pStyle w:val="Heading1"/>
      </w:pPr>
      <w:r>
        <w:t>5. 데이터 파이프라인 및 리스크</w:t>
      </w:r>
    </w:p>
    <w:p>
      <w:r>
        <w:t>데이터는 공공 API와 시세 벤더로부터 일 1회 배치 수집하며 장중 주요 지표는 별도 실시간 연동을 검토한다.</w:t>
      </w:r>
    </w:p>
    <w:p>
      <w:r>
        <w:t>데이터 벤더 장애 시 직전 유효값을 유지하고 화면에 지연 표시를 노출하는 대체 로직을 마련한다.</w:t>
      </w:r>
    </w:p>
    <w:p>
      <w:pPr>
        <w:pStyle w:val="ListBullet"/>
      </w:pPr>
      <w:r>
        <w:t>일 1회 배치 수집 원칙</w:t>
      </w:r>
    </w:p>
    <w:p>
      <w:pPr>
        <w:pStyle w:val="ListBullet"/>
      </w:pPr>
      <w:r>
        <w:t>장중 실시간 연동 검토</w:t>
      </w:r>
    </w:p>
    <w:p>
      <w:pPr>
        <w:pStyle w:val="ListBullet"/>
      </w:pPr>
      <w:r>
        <w:t>벤더 장애시 직전값 유지+지연표시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