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선거비용 실사 보조 및 민원대응 업무 절차서</w:t>
      </w:r>
    </w:p>
    <w:p>
      <w:r>
        <w:t>본 문서는 선거비용 실사 보조 업무 절차와 민원 접수·분류·유권해석 에스컬레이션 기준을 정의한다.</w:t>
      </w:r>
    </w:p>
    <w:p>
      <w:pPr>
        <w:pStyle w:val="Heading1"/>
      </w:pPr>
      <w:r>
        <w:t>1. 업무 개요</w:t>
      </w:r>
    </w:p>
    <w:p>
      <w:r>
        <w:t>본 절차서는 선거비용 실사 보조 인력이 수행하는 증빙 확인 업무와 민원 대응 업무의 표준 절차를 규정한다.</w:t>
      </w:r>
    </w:p>
    <w:p>
      <w:r>
        <w:t>실사 보조 업무는 담당 조사관의 지도 감독 하에 수행하며 최종 판단 권한은 조사관에게 있다.</w:t>
      </w:r>
    </w:p>
    <w:p>
      <w:pPr>
        <w:pStyle w:val="ListBullet"/>
      </w:pPr>
      <w:r>
        <w:t>실사보조 업무 범위 및 한계 명확화</w:t>
      </w:r>
    </w:p>
    <w:p>
      <w:pPr>
        <w:pStyle w:val="ListBullet"/>
      </w:pPr>
      <w:r>
        <w:t>조사관 지도감독 하 업무수행</w:t>
      </w:r>
    </w:p>
    <w:p>
      <w:pPr>
        <w:pStyle w:val="ListBullet"/>
      </w:pPr>
      <w:r>
        <w:t>최종 판단은 조사관 권한</w:t>
      </w:r>
    </w:p>
    <w:p>
      <w:pPr>
        <w:pStyle w:val="Heading1"/>
      </w:pPr>
      <w:r>
        <w:t>2. 선거비용 실사 보조 절차</w:t>
      </w:r>
    </w:p>
    <w:p>
      <w:r>
        <w:t>실사 보조자는 후보자가 제출한 회계보고서와 첨부 증빙을 대조하여 항목별 일치 여부를 1차 확인한다.</w:t>
      </w:r>
    </w:p>
    <w:p>
      <w:r>
        <w:t>불일치 또는 의심 항목이 발견되면 사유를 기록하여 담당 조사관에게 보고한다.</w:t>
      </w:r>
    </w:p>
    <w:p>
      <w:pPr>
        <w:pStyle w:val="ListBullet"/>
      </w:pPr>
      <w:r>
        <w:t>회계보고서-증빙 1차 대조</w:t>
      </w:r>
    </w:p>
    <w:p>
      <w:pPr>
        <w:pStyle w:val="ListBullet"/>
      </w:pPr>
      <w:r>
        <w:t>불일치 항목 사유 기록</w:t>
      </w:r>
    </w:p>
    <w:p>
      <w:pPr>
        <w:pStyle w:val="ListBullet"/>
      </w:pPr>
      <w:r>
        <w:t>담당 조사관 보고 및 지시 대기</w:t>
      </w:r>
    </w:p>
    <w:p>
      <w:pPr>
        <w:pStyle w:val="Heading2"/>
      </w:pPr>
      <w:r>
        <w:t>2.1 증빙서류 확인기준</w:t>
      </w:r>
    </w:p>
    <w:p>
      <w:r>
        <w:t>증빙서류는 영수증, 계약서, 통장거래내역의 3종을 기본으로 하며 금액·일자·거래상대방의 일치 여부를 확인한다.</w:t>
      </w:r>
    </w:p>
    <w:p>
      <w:r>
        <w:t>고액 지출 항목(건당 100만원 이상)은 반드시 계약서와 세금계산서를 함께 확인한다.</w:t>
      </w:r>
    </w:p>
    <w:p>
      <w:pPr>
        <w:pStyle w:val="ListBullet"/>
      </w:pPr>
      <w:r>
        <w:t>기본 확인항목: 금액/일자/거래상대방</w:t>
      </w:r>
    </w:p>
    <w:p>
      <w:pPr>
        <w:pStyle w:val="ListBullet"/>
      </w:pPr>
      <w:r>
        <w:t>고액지출은 계약서+세금계산서 병행 확인</w:t>
      </w:r>
    </w:p>
    <w:p>
      <w:pPr>
        <w:pStyle w:val="ListBullet"/>
      </w:pPr>
      <w:r>
        <w:t>확인불가 항목은 보류처리 후 보고</w:t>
      </w:r>
    </w:p>
    <w:p>
      <w:pPr>
        <w:pStyle w:val="Heading1"/>
      </w:pPr>
      <w:r>
        <w:t>3. 민원 접수 및 분류</w:t>
      </w:r>
    </w:p>
    <w:p>
      <w:r>
        <w:t>민원은 방문, 전화, 온라인의 3개 경로로 접수되며 접수 즉시 유형별로 분류하여 담당부서에 배정한다.</w:t>
      </w:r>
    </w:p>
    <w:p>
      <w:r>
        <w:t>단순 문의와 법령 해석이 필요한 민원을 구분하여 처리 절차를 이원화한다.</w:t>
      </w:r>
    </w:p>
    <w:p>
      <w:pPr>
        <w:pStyle w:val="ListBullet"/>
      </w:pPr>
      <w:r>
        <w:t>접수경로: 방문/전화/온라인</w:t>
      </w:r>
    </w:p>
    <w:p>
      <w:pPr>
        <w:pStyle w:val="ListBullet"/>
      </w:pPr>
      <w:r>
        <w:t>단순문의 vs 법령해석 필요 민원 구분</w:t>
      </w:r>
    </w:p>
    <w:p>
      <w:pPr>
        <w:pStyle w:val="ListBullet"/>
      </w:pPr>
      <w:r>
        <w:t>접수 즉시 담당부서 자동 배정</w:t>
      </w:r>
    </w:p>
    <w:p>
      <w:pPr>
        <w:pStyle w:val="Heading2"/>
      </w:pPr>
      <w:r>
        <w:t>3.1 유권해석 에스컬레이션 기준</w:t>
      </w:r>
    </w:p>
    <w:p>
      <w:r>
        <w:t>기존 유권해석 사례와 다르거나 신규 쟁점을 포함한 민원은 상급 부서로 에스컬레이션한다.</w:t>
      </w:r>
    </w:p>
    <w:p>
      <w:r>
        <w:t>에스컬레이션 대상은 접수 후 2영업일 이내 상급 검토를 요청하는 것을 원칙으로 한다.</w:t>
      </w:r>
    </w:p>
    <w:p>
      <w:pPr>
        <w:pStyle w:val="ListBullet"/>
      </w:pPr>
      <w:r>
        <w:t>기존 사례와 상이한 신규 쟁점 에스컬레이션</w:t>
      </w:r>
    </w:p>
    <w:p>
      <w:pPr>
        <w:pStyle w:val="ListBullet"/>
      </w:pPr>
      <w:r>
        <w:t>접수 후 2영업일 이내 상급검토 요청</w:t>
      </w:r>
    </w:p>
    <w:p>
      <w:pPr>
        <w:pStyle w:val="ListBullet"/>
      </w:pPr>
      <w:r>
        <w:t>에스컬레이션 결과 민원인 통지</w:t>
      </w:r>
    </w:p>
    <w:p>
      <w:pPr>
        <w:pStyle w:val="Heading1"/>
      </w:pPr>
      <w:r>
        <w:t>4. 처리기한 및 보고체계</w:t>
      </w:r>
    </w:p>
    <w:p>
      <w:r>
        <w:t>일반 민원은 접수 후 7일 이내, 법령해석이 필요한 민원은 14일 이내 처리를 원칙으로 한다.</w:t>
      </w:r>
    </w:p>
    <w:p>
      <w:r>
        <w:t>처리 현황은 주간 단위로 취합하여 부서장에게 보고한다.</w:t>
      </w:r>
    </w:p>
    <w:p>
      <w:pPr>
        <w:pStyle w:val="ListBullet"/>
      </w:pPr>
      <w:r>
        <w:t>일반민원 처리기한 7일</w:t>
      </w:r>
    </w:p>
    <w:p>
      <w:pPr>
        <w:pStyle w:val="ListBullet"/>
      </w:pPr>
      <w:r>
        <w:t>법령해석 민원 처리기한 14일</w:t>
      </w:r>
    </w:p>
    <w:p>
      <w:pPr>
        <w:pStyle w:val="ListBullet"/>
      </w:pPr>
      <w:r>
        <w:t>주간 처리현황 부서장 보고</w:t>
      </w:r>
    </w:p>
    <w:p>
      <w:pPr>
        <w:pStyle w:val="Heading1"/>
      </w:pPr>
      <w:r>
        <w:t>5. 개인정보 및 보안 유의사항</w:t>
      </w:r>
    </w:p>
    <w:p>
      <w:r>
        <w:t>실사 및 민원처리 과정에서 취득한 개인정보와 회계자료는 목적 외 사용을 금지하며 열람 이력을 기록한다.</w:t>
      </w:r>
    </w:p>
    <w:p>
      <w:r>
        <w:t>외부 반출이 필요한 자료는 사전 승인 절차를 거쳐야 한다.</w:t>
      </w:r>
    </w:p>
    <w:p>
      <w:pPr>
        <w:pStyle w:val="ListBullet"/>
      </w:pPr>
      <w:r>
        <w:t>개인정보 목적 외 사용 금지</w:t>
      </w:r>
    </w:p>
    <w:p>
      <w:pPr>
        <w:pStyle w:val="ListBullet"/>
      </w:pPr>
      <w:r>
        <w:t>자료 열람 이력 기록</w:t>
      </w:r>
    </w:p>
    <w:p>
      <w:pPr>
        <w:pStyle w:val="ListBullet"/>
      </w:pPr>
      <w:r>
        <w:t>외부 반출시 사전 승인 필수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