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SAP CO-PA 마케팅 퍼널 기반 판관비 구조화 손익계산서 설계서</w:t>
      </w:r>
    </w:p>
    <w:p>
      <w:r>
        <w:t>본 문서는 마케팅 퍼널 단계(인지-관심-전환-유지) 기준으로 판관비를 구조화하여 CO-PA 손익계산서에 반영하기 위한 설계 내용을 정의한다.</w:t>
      </w:r>
    </w:p>
    <w:p>
      <w:pPr>
        <w:pStyle w:val="Heading1"/>
      </w:pPr>
      <w:r>
        <w:t>1. 배경 및 목적</w:t>
      </w:r>
    </w:p>
    <w:p>
      <w:r>
        <w:t>현행 CO-PA 손익계산서는 판관비를 부서 기준으로만 구분하여 마케팅 투자 대비 성과 분석이 어렵다.</w:t>
      </w:r>
    </w:p>
    <w:p>
      <w:r>
        <w:t>본 과제는 판관비를 마케팅 퍼널 단계별로 재구조화하여 채널별 투자 효율성을 손익 관점에서 분석 가능하게 한다.</w:t>
      </w:r>
    </w:p>
    <w:p>
      <w:pPr>
        <w:pStyle w:val="ListBullet"/>
      </w:pPr>
      <w:r>
        <w:t>부서 기준 분류의 한계</w:t>
      </w:r>
    </w:p>
    <w:p>
      <w:pPr>
        <w:pStyle w:val="ListBullet"/>
      </w:pPr>
      <w:r>
        <w:t>퍼널 단계별 성과 분석 요구 증가</w:t>
      </w:r>
    </w:p>
    <w:p>
      <w:pPr>
        <w:pStyle w:val="ListBullet"/>
      </w:pPr>
      <w:r>
        <w:t>채널 ROI 측정 체계 필요</w:t>
      </w:r>
    </w:p>
    <w:p>
      <w:pPr>
        <w:pStyle w:val="Heading1"/>
      </w:pPr>
      <w:r>
        <w:t>2. Marketing Funnel 개념</w:t>
      </w:r>
    </w:p>
    <w:p>
      <w:r>
        <w:t>마케팅 퍼널은 인지(Awareness), 관심(Interest), 전환(Conversion), 유지(Retention)의 4단계로 정의한다.</w:t>
      </w:r>
    </w:p>
    <w:p>
      <w:r>
        <w:t>각 단계는 대표 마케팅 활동과 비용 항목을 매핑하여 손익 분석의 최소 단위로 사용한다.</w:t>
      </w:r>
    </w:p>
    <w:p>
      <w:pPr>
        <w:pStyle w:val="ListBullet"/>
      </w:pPr>
      <w:r>
        <w:t>인지: 브랜드 광고, PR</w:t>
      </w:r>
    </w:p>
    <w:p>
      <w:pPr>
        <w:pStyle w:val="ListBullet"/>
      </w:pPr>
      <w:r>
        <w:t>관심: 콘텐츠 마케팅, SEO</w:t>
      </w:r>
    </w:p>
    <w:p>
      <w:pPr>
        <w:pStyle w:val="ListBullet"/>
      </w:pPr>
      <w:r>
        <w:t>전환: 퍼포먼스 광고, 프로모션</w:t>
      </w:r>
    </w:p>
    <w:p>
      <w:pPr>
        <w:pStyle w:val="ListBullet"/>
      </w:pPr>
      <w:r>
        <w:t>유지: CRM, 멤버십 운영비</w:t>
      </w:r>
    </w:p>
    <w:p>
      <w:pPr>
        <w:pStyle w:val="Heading2"/>
      </w:pPr>
      <w:r>
        <w:t>2.1 퍼널단계별 비용유형</w:t>
      </w:r>
    </w:p>
    <w:p>
      <w:r>
        <w:t>각 퍼널 단계는 매체비, 대행수수료, 인건비, 제작비의 4개 비용유형으로 세분화한다.</w:t>
      </w:r>
    </w:p>
    <w:p>
      <w:r>
        <w:t>비용유형은 GL계정과 1:1 매핑되어 자동 분류가 가능하도록 설계한다.</w:t>
      </w:r>
    </w:p>
    <w:p>
      <w:pPr>
        <w:pStyle w:val="ListBullet"/>
      </w:pPr>
      <w:r>
        <w:t>매체비: 광고 매체 집행 비용</w:t>
      </w:r>
    </w:p>
    <w:p>
      <w:pPr>
        <w:pStyle w:val="ListBullet"/>
      </w:pPr>
      <w:r>
        <w:t>대행수수료: 에이전시 수수료</w:t>
      </w:r>
    </w:p>
    <w:p>
      <w:pPr>
        <w:pStyle w:val="ListBullet"/>
      </w:pPr>
      <w:r>
        <w:t>인건비: 마케팅 인력 배분비용</w:t>
      </w:r>
    </w:p>
    <w:p>
      <w:pPr>
        <w:pStyle w:val="ListBullet"/>
      </w:pPr>
      <w:r>
        <w:t>제작비: 콘텐츠/소재 제작비용</w:t>
      </w:r>
    </w:p>
    <w:p>
      <w:pPr>
        <w:pStyle w:val="Heading1"/>
      </w:pPr>
      <w:r>
        <w:t>3. 계정 매핑 설계</w:t>
      </w:r>
    </w:p>
    <w:p>
      <w:r>
        <w:t>기존 GL계정 체계를 유지하면서 CO-PA 특성값(Value Field)에 퍼널단계 코드를 추가한다.</w:t>
      </w:r>
    </w:p>
    <w:p>
      <w:r>
        <w:t>전표 입력 시 원가요소와 특성값을 함께 지정하도록 하여 수기 배부 작업을 최소화한다.</w:t>
      </w:r>
    </w:p>
    <w:p>
      <w:pPr>
        <w:pStyle w:val="ListBullet"/>
      </w:pPr>
      <w:r>
        <w:t>GL계정은 유지, 특성값만 추가</w:t>
      </w:r>
    </w:p>
    <w:p>
      <w:pPr>
        <w:pStyle w:val="ListBullet"/>
      </w:pPr>
      <w:r>
        <w:t>전표 입력 시 퍼널단계 필수 지정</w:t>
      </w:r>
    </w:p>
    <w:p>
      <w:pPr>
        <w:pStyle w:val="ListBullet"/>
      </w:pPr>
      <w:r>
        <w:t>월별 배부전표는 배치로 일괄 처리</w:t>
      </w:r>
    </w:p>
    <w:p>
      <w:pPr>
        <w:pStyle w:val="Heading2"/>
      </w:pPr>
      <w:r>
        <w:t>3.1 원가요소-PA특성값 매핑</w:t>
      </w:r>
    </w:p>
    <w:p>
      <w:r>
        <w:t>원가요소별 매핑 규칙은 마케팅팀과 재무팀이 공동으로 검토하여 확정한다.</w:t>
      </w:r>
    </w:p>
    <w:p>
      <w:r>
        <w:t>예외적으로 복수 퍼널에 걸친 비용은 사전 정의된 비율로 안분한다.</w:t>
      </w:r>
    </w:p>
    <w:p>
      <w:pPr>
        <w:pStyle w:val="ListBullet"/>
      </w:pPr>
      <w:r>
        <w:t>원가요소-특성값 1:1 매핑 원칙</w:t>
      </w:r>
    </w:p>
    <w:p>
      <w:pPr>
        <w:pStyle w:val="ListBullet"/>
      </w:pPr>
      <w:r>
        <w:t>복수퍼널 비용은 사전 비율로 안분</w:t>
      </w:r>
    </w:p>
    <w:p>
      <w:pPr>
        <w:pStyle w:val="ListBullet"/>
      </w:pPr>
      <w:r>
        <w:t>매핑 규칙 분기별 재검토</w:t>
      </w:r>
    </w:p>
    <w:p>
      <w:pPr>
        <w:pStyle w:val="Heading1"/>
      </w:pPr>
      <w:r>
        <w:t>4. 리포트 화면 설계</w:t>
      </w:r>
    </w:p>
    <w:p>
      <w:r>
        <w:t>CO-PA 리포트는 퍼널단계 × 손익항목의 매트릭스 형태로 설계하여 단계별 기여이익을 즉시 확인할 수 있다.</w:t>
      </w:r>
    </w:p>
    <w:p>
      <w:r>
        <w:t>채널별 드릴다운 기능을 제공하여 세부 캠페인 단위까지 손익을 추적할 수 있도록 한다.</w:t>
      </w:r>
    </w:p>
    <w:p>
      <w:pPr>
        <w:pStyle w:val="ListBullet"/>
      </w:pPr>
      <w:r>
        <w:t>퍼널단계 × 손익항목 매트릭스</w:t>
      </w:r>
    </w:p>
    <w:p>
      <w:pPr>
        <w:pStyle w:val="ListBullet"/>
      </w:pPr>
      <w:r>
        <w:t>채널/캠페인 드릴다운 지원</w:t>
      </w:r>
    </w:p>
    <w:p>
      <w:pPr>
        <w:pStyle w:val="ListBullet"/>
      </w:pPr>
      <w:r>
        <w:t>전월 대비 증감 시각화</w:t>
      </w:r>
    </w:p>
    <w:p>
      <w:pPr>
        <w:pStyle w:val="Heading1"/>
      </w:pPr>
      <w:r>
        <w:t>5. 검증 및 이관 계획</w:t>
      </w:r>
    </w:p>
    <w:p>
      <w:r>
        <w:t>신규 리포트는 기존 부서기준 리포트와 1개 분기 병행 운영하여 수치 정합성을 검증한다.</w:t>
      </w:r>
    </w:p>
    <w:p>
      <w:r>
        <w:t>검증 완료 후 마케팅 예산 배정 프로세스에도 퍼널 기준 리포트를 반영한다.</w:t>
      </w:r>
    </w:p>
    <w:p>
      <w:pPr>
        <w:pStyle w:val="ListBullet"/>
      </w:pPr>
      <w:r>
        <w:t>1개 분기 병행 운영 및 검증</w:t>
      </w:r>
    </w:p>
    <w:p>
      <w:pPr>
        <w:pStyle w:val="ListBullet"/>
      </w:pPr>
      <w:r>
        <w:t>검증 완료 후 예산 프로세스 반영</w:t>
      </w:r>
    </w:p>
    <w:p>
      <w:pPr>
        <w:pStyle w:val="ListBullet"/>
      </w:pPr>
      <w:r>
        <w:t>사용자 교육 및 매뉴얼 배포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