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B34EE" w:rsidRDefault="009B34EE">
      <w:pPr>
        <w:spacing w:before="2200"/>
      </w:pPr>
    </w:p>
    <w:p w:rsidR="009B34EE" w:rsidRDefault="00E73DF2">
      <w:pPr>
        <w:jc w:val="center"/>
      </w:pPr>
      <w:r>
        <w:rPr>
          <w:b/>
          <w:bCs/>
          <w:color w:val="2C3E7A"/>
          <w:sz w:val="52"/>
          <w:szCs w:val="52"/>
        </w:rPr>
        <w:t>ASL HAND-SIGN CLASSIFICATION</w:t>
      </w:r>
    </w:p>
    <w:p w:rsidR="009B34EE" w:rsidRDefault="00E73DF2">
      <w:pPr>
        <w:spacing w:before="140"/>
        <w:jc w:val="center"/>
      </w:pPr>
      <w:r>
        <w:rPr>
          <w:i/>
          <w:iCs/>
          <w:color w:val="1D9E75"/>
          <w:sz w:val="30"/>
          <w:szCs w:val="30"/>
        </w:rPr>
        <w:t>An End-to-End Machine Learning Pipeline</w:t>
      </w:r>
    </w:p>
    <w:p w:rsidR="009B34EE" w:rsidRDefault="00E73DF2">
      <w:pPr>
        <w:spacing w:before="80"/>
        <w:jc w:val="center"/>
      </w:pPr>
      <w:r>
        <w:rPr>
          <w:i/>
          <w:iCs/>
          <w:color w:val="555555"/>
          <w:sz w:val="23"/>
          <w:szCs w:val="23"/>
        </w:rPr>
        <w:t>From Raw Images to Production-Ready Inference</w:t>
      </w:r>
    </w:p>
    <w:p w:rsidR="009B34EE" w:rsidRDefault="009B34EE">
      <w:pPr>
        <w:spacing w:before="360"/>
      </w:pPr>
    </w:p>
    <w:p w:rsidR="009B34EE" w:rsidRDefault="009B34EE">
      <w:pPr>
        <w:pBdr>
          <w:bottom w:val="single" w:sz="8" w:space="0" w:color="1D9E75"/>
        </w:pBdr>
      </w:pPr>
    </w:p>
    <w:p w:rsidR="009B34EE" w:rsidRDefault="009B34EE">
      <w:pPr>
        <w:spacing w:before="3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9B34EE">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t>Field</w:t>
            </w:r>
          </w:p>
        </w:tc>
        <w:tc>
          <w:tcPr>
            <w:tcW w:w="616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t>Detail</w:t>
            </w:r>
          </w:p>
        </w:tc>
      </w:tr>
      <w:tr w:rsidR="009B34EE">
        <w:tc>
          <w:tcPr>
            <w:tcW w:w="32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Project Title</w:t>
            </w:r>
          </w:p>
        </w:tc>
        <w:tc>
          <w:tcPr>
            <w:tcW w:w="616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ASL Sign Language Classification via MediaPipe Hand Landmarks + Classical ML</w:t>
            </w:r>
          </w:p>
        </w:tc>
      </w:tr>
      <w:tr w:rsidR="009B34EE">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Programme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Master of Science — Computer Science / Artificial Intelligence</w:t>
            </w:r>
          </w:p>
        </w:tc>
      </w:tr>
      <w:tr w:rsidR="009B34EE">
        <w:tc>
          <w:tcPr>
            <w:tcW w:w="32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Course</w:t>
            </w:r>
          </w:p>
        </w:tc>
        <w:tc>
          <w:tcPr>
            <w:tcW w:w="616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Machine Learning &amp; Pattern Recognition</w:t>
            </w:r>
          </w:p>
        </w:tc>
      </w:tr>
      <w:tr w:rsidR="009B34EE">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Academic Year</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2025 / 2026</w:t>
            </w:r>
          </w:p>
        </w:tc>
      </w:tr>
      <w:tr w:rsidR="009B34EE">
        <w:tc>
          <w:tcPr>
            <w:tcW w:w="32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Keywords</w:t>
            </w:r>
          </w:p>
        </w:tc>
        <w:tc>
          <w:tcPr>
            <w:tcW w:w="616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Sign Language, Hand Landmarks, SVM, Random Forest, KNN, SHAP, MediaPipe</w:t>
            </w:r>
          </w:p>
        </w:tc>
      </w:tr>
    </w:tbl>
    <w:p w:rsidR="009B34EE" w:rsidRDefault="009B34EE">
      <w:pPr>
        <w:spacing w:before="500"/>
      </w:pPr>
    </w:p>
    <w:p w:rsidR="009B34EE" w:rsidRDefault="00E73DF2">
      <w:pPr>
        <w:jc w:val="center"/>
      </w:pPr>
      <w:r>
        <w:rPr>
          <w:color w:val="555555"/>
          <w:sz w:val="22"/>
          <w:szCs w:val="22"/>
        </w:rPr>
        <w:t>Author</w:t>
      </w:r>
    </w:p>
    <w:p w:rsidR="009B34EE" w:rsidRDefault="001F3D84">
      <w:pPr>
        <w:spacing w:before="80"/>
        <w:jc w:val="center"/>
      </w:pPr>
      <w:r>
        <w:rPr>
          <w:b/>
          <w:bCs/>
          <w:color w:val="2C3E7A"/>
          <w:sz w:val="32"/>
          <w:szCs w:val="32"/>
        </w:rPr>
        <w:t>Abrham Assefa Habtamu</w:t>
      </w:r>
    </w:p>
    <w:p w:rsidR="009B34EE" w:rsidRDefault="00E73DF2">
      <w:r>
        <w:br w:type="page"/>
      </w:r>
    </w:p>
    <w:p w:rsidR="009B34EE" w:rsidRDefault="009B34EE">
      <w:pPr>
        <w:sectPr w:rsidR="009B34EE">
          <w:pgSz w:w="12240" w:h="15840"/>
          <w:pgMar w:top="1440" w:right="1440" w:bottom="1440" w:left="1440" w:header="708" w:footer="708" w:gutter="0"/>
          <w:cols w:space="720"/>
          <w:docGrid w:linePitch="360"/>
        </w:sectPr>
      </w:pPr>
    </w:p>
    <w:p w:rsidR="009B34EE" w:rsidRDefault="00E73DF2">
      <w:pPr>
        <w:pStyle w:val="Heading1"/>
        <w:pBdr>
          <w:bottom w:val="single" w:sz="6" w:space="6" w:color="1D9E75"/>
        </w:pBdr>
      </w:pPr>
      <w:r>
        <w:lastRenderedPageBreak/>
        <w:t>Table of Contents</w:t>
      </w:r>
    </w:p>
    <w:p w:rsidR="009B34EE" w:rsidRDefault="00E73DF2">
      <w:pPr>
        <w:spacing w:before="100" w:after="100"/>
      </w:pPr>
      <w:r>
        <w:rPr>
          <w:sz w:val="22"/>
          <w:szCs w:val="22"/>
        </w:rPr>
        <w:t>1.  Motivation and Rationale</w:t>
      </w:r>
      <w:r>
        <w:rPr>
          <w:color w:val="999999"/>
          <w:sz w:val="22"/>
          <w:szCs w:val="22"/>
        </w:rPr>
        <w:t xml:space="preserve">  ····</w:t>
      </w:r>
      <w:r w:rsidR="001F3D84">
        <w:rPr>
          <w:color w:val="999999"/>
          <w:sz w:val="22"/>
          <w:szCs w:val="22"/>
        </w:rPr>
        <w:t>················································································</w:t>
      </w:r>
      <w:r>
        <w:rPr>
          <w:color w:val="999999"/>
          <w:sz w:val="22"/>
          <w:szCs w:val="22"/>
        </w:rPr>
        <w:t xml:space="preserve">  3</w:t>
      </w:r>
    </w:p>
    <w:p w:rsidR="009B34EE" w:rsidRDefault="00E73DF2">
      <w:pPr>
        <w:spacing w:before="100" w:after="100"/>
      </w:pPr>
      <w:r>
        <w:rPr>
          <w:sz w:val="22"/>
          <w:szCs w:val="22"/>
        </w:rPr>
        <w:t>2.  State of the Art</w:t>
      </w:r>
      <w:r>
        <w:rPr>
          <w:color w:val="999999"/>
          <w:sz w:val="22"/>
          <w:szCs w:val="22"/>
        </w:rPr>
        <w:t xml:space="preserve">  ·····</w:t>
      </w:r>
      <w:r w:rsidR="001F3D84">
        <w:rPr>
          <w:color w:val="999999"/>
          <w:sz w:val="22"/>
          <w:szCs w:val="22"/>
        </w:rPr>
        <w:t>····························································································</w:t>
      </w:r>
      <w:r>
        <w:rPr>
          <w:color w:val="999999"/>
          <w:sz w:val="22"/>
          <w:szCs w:val="22"/>
        </w:rPr>
        <w:t xml:space="preserve">  5</w:t>
      </w:r>
    </w:p>
    <w:p w:rsidR="009B34EE" w:rsidRDefault="00E73DF2">
      <w:pPr>
        <w:spacing w:before="100" w:after="100"/>
      </w:pPr>
      <w:r>
        <w:rPr>
          <w:sz w:val="22"/>
          <w:szCs w:val="22"/>
        </w:rPr>
        <w:t>3.  Objectives</w:t>
      </w:r>
      <w:r>
        <w:rPr>
          <w:color w:val="999999"/>
          <w:sz w:val="22"/>
          <w:szCs w:val="22"/>
        </w:rPr>
        <w:t xml:space="preserve">  ·····</w:t>
      </w:r>
      <w:r w:rsidR="001F3D84">
        <w:rPr>
          <w:color w:val="999999"/>
          <w:sz w:val="22"/>
          <w:szCs w:val="22"/>
        </w:rPr>
        <w:t xml:space="preserve">···································································································· </w:t>
      </w:r>
      <w:r>
        <w:rPr>
          <w:color w:val="999999"/>
          <w:sz w:val="22"/>
          <w:szCs w:val="22"/>
        </w:rPr>
        <w:t>7</w:t>
      </w:r>
    </w:p>
    <w:p w:rsidR="009B34EE" w:rsidRDefault="00E73DF2">
      <w:pPr>
        <w:spacing w:before="100" w:after="100"/>
      </w:pPr>
      <w:r>
        <w:rPr>
          <w:sz w:val="22"/>
          <w:szCs w:val="22"/>
        </w:rPr>
        <w:t>4.  Methodology</w:t>
      </w:r>
      <w:r>
        <w:rPr>
          <w:color w:val="999999"/>
          <w:sz w:val="22"/>
          <w:szCs w:val="22"/>
        </w:rPr>
        <w:t xml:space="preserve">  ·····</w:t>
      </w:r>
      <w:r w:rsidR="001F3D84">
        <w:rPr>
          <w:color w:val="999999"/>
          <w:sz w:val="22"/>
          <w:szCs w:val="22"/>
        </w:rPr>
        <w:t xml:space="preserve">································································································  </w:t>
      </w:r>
      <w:r>
        <w:rPr>
          <w:color w:val="999999"/>
          <w:sz w:val="22"/>
          <w:szCs w:val="22"/>
        </w:rPr>
        <w:t>8</w:t>
      </w:r>
    </w:p>
    <w:p w:rsidR="009B34EE" w:rsidRDefault="00E73DF2">
      <w:pPr>
        <w:spacing w:before="100" w:after="100"/>
      </w:pPr>
      <w:r>
        <w:rPr>
          <w:sz w:val="22"/>
          <w:szCs w:val="22"/>
        </w:rPr>
        <w:t>5.  Experiments &amp; Results</w:t>
      </w:r>
      <w:r>
        <w:rPr>
          <w:color w:val="999999"/>
          <w:sz w:val="22"/>
          <w:szCs w:val="22"/>
        </w:rPr>
        <w:t xml:space="preserve">  ····· </w:t>
      </w:r>
      <w:r w:rsidR="001F3D84">
        <w:rPr>
          <w:color w:val="999999"/>
          <w:sz w:val="22"/>
          <w:szCs w:val="22"/>
        </w:rPr>
        <w:t>····················································································</w:t>
      </w:r>
      <w:r>
        <w:rPr>
          <w:color w:val="999999"/>
          <w:sz w:val="22"/>
          <w:szCs w:val="22"/>
        </w:rPr>
        <w:t>12</w:t>
      </w:r>
    </w:p>
    <w:p w:rsidR="009B34EE" w:rsidRDefault="00E73DF2">
      <w:pPr>
        <w:spacing w:before="100" w:after="100"/>
      </w:pPr>
      <w:r>
        <w:rPr>
          <w:sz w:val="22"/>
          <w:szCs w:val="22"/>
        </w:rPr>
        <w:t>6.  Conclusions</w:t>
      </w:r>
      <w:r>
        <w:rPr>
          <w:color w:val="999999"/>
          <w:sz w:val="22"/>
          <w:szCs w:val="22"/>
        </w:rPr>
        <w:t xml:space="preserve">  ····· </w:t>
      </w:r>
      <w:r w:rsidR="001F3D84">
        <w:rPr>
          <w:color w:val="999999"/>
          <w:sz w:val="22"/>
          <w:szCs w:val="22"/>
        </w:rPr>
        <w:t>··································································································</w:t>
      </w:r>
      <w:r>
        <w:rPr>
          <w:color w:val="999999"/>
          <w:sz w:val="22"/>
          <w:szCs w:val="22"/>
        </w:rPr>
        <w:t>16</w:t>
      </w:r>
    </w:p>
    <w:p w:rsidR="009B34EE" w:rsidRDefault="00E73DF2">
      <w:pPr>
        <w:spacing w:before="100" w:after="100"/>
      </w:pPr>
      <w:r>
        <w:rPr>
          <w:sz w:val="22"/>
          <w:szCs w:val="22"/>
        </w:rPr>
        <w:t>7.  Bibliography and References</w:t>
      </w:r>
      <w:r>
        <w:rPr>
          <w:color w:val="999999"/>
          <w:sz w:val="22"/>
          <w:szCs w:val="22"/>
        </w:rPr>
        <w:t xml:space="preserve">  ·····</w:t>
      </w:r>
      <w:r w:rsidR="001F3D84">
        <w:rPr>
          <w:color w:val="999999"/>
          <w:sz w:val="22"/>
          <w:szCs w:val="22"/>
        </w:rPr>
        <w:t>············································································</w:t>
      </w:r>
      <w:r>
        <w:rPr>
          <w:color w:val="999999"/>
          <w:sz w:val="22"/>
          <w:szCs w:val="22"/>
        </w:rPr>
        <w:t xml:space="preserve"> 17</w:t>
      </w:r>
    </w:p>
    <w:p w:rsidR="009B34EE" w:rsidRDefault="00E73DF2" w:rsidP="00205ACE">
      <w:r>
        <w:br w:type="page"/>
      </w:r>
      <w:r>
        <w:rPr>
          <w:b/>
          <w:bCs/>
          <w:color w:val="2C3E7A"/>
          <w:sz w:val="34"/>
          <w:szCs w:val="34"/>
        </w:rPr>
        <w:lastRenderedPageBreak/>
        <w:t>1.  Motivation and Rationale</w:t>
      </w:r>
    </w:p>
    <w:p w:rsidR="001F3D84" w:rsidRDefault="001F3D84">
      <w:pPr>
        <w:pStyle w:val="Heading2"/>
      </w:pPr>
    </w:p>
    <w:p w:rsidR="009B34EE" w:rsidRDefault="00E73DF2">
      <w:pPr>
        <w:pStyle w:val="Heading2"/>
      </w:pPr>
      <w:r>
        <w:t>1.1  The Communication Accessibility Gap</w:t>
      </w:r>
    </w:p>
    <w:p w:rsidR="00E73DF2" w:rsidRDefault="00E73DF2">
      <w:pPr>
        <w:spacing w:before="60" w:after="60"/>
        <w:jc w:val="both"/>
      </w:pPr>
      <w:r w:rsidRPr="00E73DF2">
        <w:t>Sign language is the chief means of communicating among an estimated 70 million deaf and hearing-impaired people around the world. Even ASL is used by approximately one million people in America and Canada and millions more as their secondary language. However, despite being a significant number, the vast majority of people having normal hearing do not understand sign language, resulting in a major communication gap between the hearing-impaired people and the rest of the world.</w:t>
      </w:r>
    </w:p>
    <w:p w:rsidR="009B34EE" w:rsidRDefault="00E73DF2">
      <w:pPr>
        <w:spacing w:before="60" w:after="60"/>
        <w:jc w:val="both"/>
      </w:pPr>
      <w:r w:rsidRPr="00E73DF2">
        <w:t>These repercussions are very real and have been documented. Deaf patients who attend hospitals without any certified interpreters get medical explanations that are not up to the mark and their decisions on treatments are uninformed. Inclusive classrooms where deaf students study but lack sufficient support find themselves at an educational disadvantage. Deaf workers function in the workplace with minimal communication opportunities. The automated Sign Language Recognition (SLR) is an example of technology with great ability to help solve these issues through real-time communication facilitated through a machine</w:t>
      </w:r>
      <w:r>
        <w:t>.</w:t>
      </w:r>
    </w:p>
    <w:p w:rsidR="009B34EE" w:rsidRDefault="009B34E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B34EE">
        <w:tc>
          <w:tcPr>
            <w:tcW w:w="9360" w:type="dxa"/>
            <w:tcBorders>
              <w:top w:val="single" w:sz="3" w:space="0" w:color="1D9E75"/>
              <w:left w:val="thick" w:sz="14" w:space="0" w:color="1D9E75"/>
              <w:bottom w:val="single" w:sz="3" w:space="0" w:color="1D9E75"/>
              <w:right w:val="single" w:sz="3" w:space="0" w:color="1D9E75"/>
            </w:tcBorders>
            <w:shd w:val="clear" w:color="auto" w:fill="F0FBF6"/>
            <w:tcMar>
              <w:top w:w="100" w:type="dxa"/>
              <w:left w:w="200" w:type="dxa"/>
              <w:bottom w:w="100" w:type="dxa"/>
              <w:right w:w="120" w:type="dxa"/>
            </w:tcMar>
          </w:tcPr>
          <w:p w:rsidR="009B34EE" w:rsidRDefault="00C14E43">
            <w:pPr>
              <w:jc w:val="both"/>
            </w:pPr>
            <w:r w:rsidRPr="00C14E43">
              <w:rPr>
                <w:i/>
                <w:iCs/>
                <w:color w:val="1A5C3A"/>
              </w:rPr>
              <w:t>Research Topic: Interpretable Machine Learning in Assistive Computing with Computer Vision. This work seeks to find out whether the simple geometrical hand posture features produced by the real-time landmark detector can be used instead of costly pixel-convolution neural network to classify ASL gestures, resulting into an accurate, fast and interpretable machine learning model for commodity hardware.</w:t>
            </w:r>
            <w:r w:rsidR="00E73DF2">
              <w:rPr>
                <w:i/>
                <w:iCs/>
                <w:color w:val="1A5C3A"/>
              </w:rPr>
              <w:t>.</w:t>
            </w:r>
          </w:p>
        </w:tc>
      </w:tr>
    </w:tbl>
    <w:p w:rsidR="009B34EE" w:rsidRDefault="009B34EE">
      <w:pPr>
        <w:spacing w:before="80"/>
      </w:pPr>
    </w:p>
    <w:p w:rsidR="00777B08" w:rsidRDefault="00777B08">
      <w:pPr>
        <w:pStyle w:val="Heading2"/>
        <w:rPr>
          <w:b w:val="0"/>
          <w:bCs w:val="0"/>
          <w:color w:val="1A1A2E"/>
          <w:sz w:val="21"/>
          <w:szCs w:val="21"/>
        </w:rPr>
      </w:pPr>
      <w:r w:rsidRPr="00777B08">
        <w:rPr>
          <w:b w:val="0"/>
          <w:bCs w:val="0"/>
          <w:color w:val="1A1A2E"/>
          <w:sz w:val="21"/>
          <w:szCs w:val="21"/>
        </w:rPr>
        <w:t>The current project involves solving the static part of the ASL recognition problem, namely the classification of static hand poses representing each of the 26 letters of the English alphabet along with three functional symbols (space, deletion, and nothing). The problem of static fingerspelling recognition is clearly defined and constitutes a good starting point to work on the whole SLR problem. Fingerspelling recognition directly provides an aid for people with difficulties in writing, allows them to learn the alphabet, and can be used as a substitution of the standard keyboard.</w:t>
      </w:r>
    </w:p>
    <w:p w:rsidR="009B34EE" w:rsidRDefault="00E73DF2">
      <w:pPr>
        <w:pStyle w:val="Heading2"/>
      </w:pPr>
      <w:r>
        <w:t>1.2  Research Significance and Novelty</w:t>
      </w:r>
    </w:p>
    <w:p w:rsidR="00777B08" w:rsidRDefault="00777B08">
      <w:pPr>
        <w:spacing w:before="60" w:after="60"/>
        <w:jc w:val="both"/>
      </w:pPr>
      <w:r w:rsidRPr="00777B08">
        <w:t>This work operates in the overlap between two current research fields: real-time hand pose estimation and traditional supervised learning using structured geometric features. The main thesis of this work is that the 63-dimensional vector of landmarks generated by Google MediaPipe HandLandmarker algorithm carries enough discriminating information to reach state-of-the-art performance on 29-class ASL classification, but in contrast to raw-pixel based convolutions it is extremely efficient and compact.</w:t>
      </w:r>
    </w:p>
    <w:p w:rsidR="001F3D84" w:rsidRDefault="00777B08" w:rsidP="00777B08">
      <w:pPr>
        <w:pStyle w:val="Heading2"/>
        <w:jc w:val="both"/>
        <w:rPr>
          <w:b w:val="0"/>
          <w:bCs w:val="0"/>
          <w:color w:val="1A1A2E"/>
          <w:sz w:val="21"/>
          <w:szCs w:val="21"/>
        </w:rPr>
      </w:pPr>
      <w:r w:rsidRPr="00777B08">
        <w:rPr>
          <w:b w:val="0"/>
          <w:bCs w:val="0"/>
          <w:color w:val="1A1A2E"/>
          <w:sz w:val="21"/>
          <w:szCs w:val="21"/>
        </w:rPr>
        <w:t>There are three innovative aspects of this paper that make it different from other publications. First, the modern API for hand landmark detection called HandLandmarker Tasks API (version 0.10+ of MediaPipe) is used in this paper, which guarantees better detection quality compared to the older Hands API used in other papers. Secondly, SHAP (SHapley Additive exPlanations) is used to get meaningful anatomical importance ranks for features. Thirdly, the ready-to-use serialisation for inference on CPU under 15 milliseconds per image is provided.</w:t>
      </w:r>
    </w:p>
    <w:p w:rsidR="00777B08" w:rsidRDefault="00777B08" w:rsidP="00777B08">
      <w:pPr>
        <w:pStyle w:val="Heading2"/>
        <w:jc w:val="both"/>
      </w:pPr>
    </w:p>
    <w:p w:rsidR="001F3D84" w:rsidRDefault="001F3D84">
      <w:pPr>
        <w:pStyle w:val="Heading2"/>
      </w:pPr>
    </w:p>
    <w:p w:rsidR="009B34EE" w:rsidRDefault="00E73DF2">
      <w:pPr>
        <w:pStyle w:val="Heading2"/>
      </w:pPr>
      <w:r>
        <w:lastRenderedPageBreak/>
        <w:t>1.3  Scope and Context</w:t>
      </w:r>
    </w:p>
    <w:p w:rsidR="00777B08" w:rsidRDefault="00777B08" w:rsidP="00777B08">
      <w:pPr>
        <w:jc w:val="both"/>
      </w:pPr>
      <w:r>
        <w:t>The scope of the current project is deliberately constrained to single static images, single-handed signs, and single-image classification. Dynamic gestures including time-dependent sequences (most of the ASL vocabulary), multi-handed signs, and sentence-level continuous gesture recognition fall out of the current scope but are listed as natural extensions in the conclusions. The experiments are conducted on the popular publicly available Kaggle ASL Alphabet dataset.</w:t>
      </w:r>
    </w:p>
    <w:p w:rsidR="00205ACE" w:rsidRDefault="00777B08" w:rsidP="00777B08">
      <w:pPr>
        <w:jc w:val="both"/>
      </w:pPr>
      <w:r>
        <w:t>In the scope of the current project, the entire process of ML engineering is considered: acquisition of the dataset, its exploration, feature engineering, preprocessing, hyperparameter tuning, proper evaluation, explainability analysis, and productionization artifacts creation. The entire codebase is provided as a reproducible Jupyter notebook executable in Google Colab environment without the need for any special hardware.</w:t>
      </w:r>
    </w:p>
    <w:p w:rsidR="009B34EE" w:rsidRDefault="00E73DF2" w:rsidP="00205ACE">
      <w:r>
        <w:rPr>
          <w:b/>
          <w:bCs/>
          <w:color w:val="2C3E7A"/>
          <w:sz w:val="34"/>
          <w:szCs w:val="34"/>
        </w:rPr>
        <w:t>2.  State of the Art</w:t>
      </w:r>
    </w:p>
    <w:p w:rsidR="009B34EE" w:rsidRDefault="00E73DF2">
      <w:pPr>
        <w:pStyle w:val="Heading2"/>
      </w:pPr>
      <w:r>
        <w:t>2.1  Historical Evolution of Sign Language Recognition</w:t>
      </w:r>
    </w:p>
    <w:p w:rsidR="00777B08" w:rsidRDefault="00777B08">
      <w:pPr>
        <w:spacing w:before="60" w:after="60"/>
        <w:jc w:val="both"/>
      </w:pPr>
      <w:r w:rsidRPr="00777B08">
        <w:t>The field of automated sign language recognition dates back to a period of over thirty years now and it has advanced in several stages of technological development. The first generation of these automated systems (1990–2005) utilized instrumented gloves, wrist-based accelerometers, and electromyographic sensors in order to obtain the kinematic information about hands. Sign language recognition systems developed by Fels &amp; Hinton (1995) and Kadous (1995) demonstrated reasonable results on small vocabularies but had some shortcomings due to invasive hardware, costly operation, and lack of cross-device operability without calibration.</w:t>
      </w:r>
    </w:p>
    <w:p w:rsidR="00777B08" w:rsidRDefault="00777B08">
      <w:pPr>
        <w:pStyle w:val="Heading2"/>
        <w:rPr>
          <w:b w:val="0"/>
          <w:bCs w:val="0"/>
          <w:color w:val="1A1A2E"/>
          <w:sz w:val="21"/>
          <w:szCs w:val="21"/>
        </w:rPr>
      </w:pPr>
      <w:r w:rsidRPr="00777B08">
        <w:rPr>
          <w:b w:val="0"/>
          <w:bCs w:val="0"/>
          <w:color w:val="1A1A2E"/>
          <w:sz w:val="21"/>
          <w:szCs w:val="21"/>
        </w:rPr>
        <w:t>The second generation (2005 to 2015) capitalized on developments in computer vision, especially in the field of depth sensors like the Microsoft Kinect sensor. Feature descriptors based on manually engineered features such as HOG, Hu moments, Zernike moments, and Appearance-Based Template Matching were used with probabilistic classifiers like Hidden Markov Models (HMMs) for temporal modeling and SVM for static posture recognition. The use of depth data (z-channel of structured light sensors) partly solved the problem of ambiguity in representing 3D hands in a 2D image space.</w:t>
      </w:r>
    </w:p>
    <w:p w:rsidR="009B34EE" w:rsidRDefault="00E73DF2">
      <w:pPr>
        <w:pStyle w:val="Heading2"/>
      </w:pPr>
      <w:r>
        <w:t>2.2  Deep Learning Era (2015 — Present)</w:t>
      </w:r>
    </w:p>
    <w:p w:rsidR="00777B08" w:rsidRDefault="00777B08">
      <w:pPr>
        <w:spacing w:before="60" w:after="60"/>
        <w:jc w:val="both"/>
      </w:pPr>
      <w:r w:rsidRPr="00777B08">
        <w:t>With the introduction of AlexNet on ImageNet in 2012, the third generation began using end-to-end deep convolutional neural networks that can learn feature representations directly from raw images. The LeNet and VGG architectures fine-tuned on sign language datasets managed to reach an accuracy rate of 90%-96% on the ASL recognition benchmarks. Transfer learning based on large-scale visual data sets such as ImageNet was adopted, allowing for high performance even without sufficient data for sign language recognition. Later architectures, such as MobileNetV2, EfficientNet, and ResNet50, could achieve an accuracy of 99%+ when trained on raw 200×200 pixel images in the Kaggle ASL Alphabet dataset.</w:t>
      </w:r>
    </w:p>
    <w:p w:rsidR="00777B08" w:rsidRDefault="00777B08">
      <w:pPr>
        <w:pStyle w:val="Heading2"/>
        <w:rPr>
          <w:b w:val="0"/>
          <w:bCs w:val="0"/>
          <w:color w:val="1A1A2E"/>
          <w:sz w:val="21"/>
          <w:szCs w:val="21"/>
        </w:rPr>
      </w:pPr>
      <w:r w:rsidRPr="00777B08">
        <w:rPr>
          <w:b w:val="0"/>
          <w:bCs w:val="0"/>
          <w:color w:val="1A1A2E"/>
          <w:sz w:val="21"/>
          <w:szCs w:val="21"/>
        </w:rPr>
        <w:t>Although very accurate, deep CNN techniques suffer from three fundamental flaws that necessitate the use of the landmarks-based method in this project. First, they are costly to train and use due to their high computational requirements, usually needing GPU computation. Secondly, they are sensitive to domain shift, meaning a model that was trained using studio images (controlled background images) will perform poorly when deployed to work with webcam images with varying backgrounds and skin colors. Most importantly, deep CNNs are black box models that do not show how the prediction was made and why certain parts of an image were used.</w:t>
      </w:r>
    </w:p>
    <w:p w:rsidR="009B34EE" w:rsidRDefault="00E73DF2">
      <w:pPr>
        <w:pStyle w:val="Heading2"/>
      </w:pPr>
      <w:r>
        <w:t>2.3  Landmark-Based Approaches: The Emerging Paradigm</w:t>
      </w:r>
    </w:p>
    <w:p w:rsidR="00777B08" w:rsidRDefault="00777B08">
      <w:pPr>
        <w:spacing w:before="60" w:after="60"/>
        <w:jc w:val="both"/>
      </w:pPr>
      <w:r w:rsidRPr="00777B08">
        <w:t xml:space="preserve">Fourth generation SLR systems have been developed using representations of skeletons of hands obtained through real-time pose estimation neural networks. MediaPipe (Google Research, 2019), which was created by Lugaresi et al. (2019), is one such example; the pipeline offers pre-trained models that can detect and localise 21 three-dimensional hand landmarks within 10 ms on CPU. The work by Taskiran et al. (2020) used a 63 dimensional landmark vector obtained using MediaPipe in combination </w:t>
      </w:r>
      <w:r w:rsidRPr="00777B08">
        <w:lastRenderedPageBreak/>
        <w:t>with a Support Vector Machine and achieved 98.7% accuracy for 18 classes of Turkish Sign Language. Aly &amp; Aly (2020) also used the same approach to Arabic Sign Language using deep LSTM with landmark vectors achieving 98.2% accuracy.</w:t>
      </w:r>
    </w:p>
    <w:p w:rsidR="00777B08" w:rsidRDefault="00777B08">
      <w:pPr>
        <w:pStyle w:val="Heading2"/>
        <w:rPr>
          <w:b w:val="0"/>
          <w:bCs w:val="0"/>
          <w:color w:val="1A1A2E"/>
          <w:sz w:val="21"/>
          <w:szCs w:val="21"/>
        </w:rPr>
      </w:pPr>
      <w:r w:rsidRPr="00777B08">
        <w:rPr>
          <w:b w:val="0"/>
          <w:bCs w:val="0"/>
          <w:color w:val="1A1A2E"/>
          <w:sz w:val="21"/>
          <w:szCs w:val="21"/>
        </w:rPr>
        <w:t>There are many strengths of the landmark-based approach including having a small feature space (63 as opposed to 120,000 for pixel values), being anatomically meaningful, invariant to the background (the detector extracts hand geometry regardless of the image content) and invariant to lighting conditions (geometric relations stay the same despite lighting changes). The only shortcoming of this model is that MediaPipe might miss a hand in images where there is occlusion, weird viewpoints or bad imaging quality, which leads to losing some information.</w:t>
      </w:r>
    </w:p>
    <w:p w:rsidR="009B34EE" w:rsidRDefault="00E73DF2">
      <w:pPr>
        <w:pStyle w:val="Heading2"/>
      </w:pPr>
      <w:r>
        <w:t>2.4  Weaknesses in Current State of the Art</w:t>
      </w:r>
    </w:p>
    <w:p w:rsidR="00777B08" w:rsidRPr="00777B08" w:rsidRDefault="00777B08" w:rsidP="00777B08">
      <w:pPr>
        <w:pStyle w:val="ListParagraph"/>
        <w:numPr>
          <w:ilvl w:val="0"/>
          <w:numId w:val="2"/>
        </w:numPr>
        <w:spacing w:before="55" w:after="55"/>
        <w:jc w:val="both"/>
      </w:pPr>
      <w:r w:rsidRPr="00777B08">
        <w:rPr>
          <w:b/>
          <w:bCs/>
          <w:color w:val="2C3E7A"/>
        </w:rPr>
        <w:t xml:space="preserve">Lack of explainability: </w:t>
      </w:r>
      <w:r w:rsidRPr="00777B08">
        <w:t>The vast majority of CNN-based systems do not offer any way of figuring out what image features the system is relying upon to make its decision, a requirement that is critical in medical/legal assisting tasks.</w:t>
      </w:r>
    </w:p>
    <w:p w:rsidR="00777B08" w:rsidRPr="00777B08" w:rsidRDefault="00777B08" w:rsidP="00777B08">
      <w:pPr>
        <w:pStyle w:val="ListParagraph"/>
        <w:numPr>
          <w:ilvl w:val="0"/>
          <w:numId w:val="2"/>
        </w:numPr>
        <w:spacing w:before="55" w:after="55"/>
        <w:jc w:val="both"/>
      </w:pPr>
      <w:r w:rsidRPr="00777B08">
        <w:rPr>
          <w:b/>
          <w:bCs/>
          <w:color w:val="2C3E7A"/>
        </w:rPr>
        <w:t xml:space="preserve">Dependency on domain: </w:t>
      </w:r>
      <w:r w:rsidRPr="00777B08">
        <w:t>Systems built on the basis of studio datasets perform poorly when used in conjunction with webcams and other consumer-grade cameras.</w:t>
      </w:r>
    </w:p>
    <w:p w:rsidR="00777B08" w:rsidRPr="00777B08" w:rsidRDefault="00777B08">
      <w:pPr>
        <w:pStyle w:val="ListParagraph"/>
        <w:numPr>
          <w:ilvl w:val="0"/>
          <w:numId w:val="2"/>
        </w:numPr>
        <w:spacing w:before="55" w:after="55"/>
        <w:jc w:val="both"/>
      </w:pPr>
      <w:r w:rsidRPr="00777B08">
        <w:rPr>
          <w:b/>
          <w:bCs/>
          <w:color w:val="2C3E7A"/>
        </w:rPr>
        <w:t xml:space="preserve">Costly computation: </w:t>
      </w:r>
      <w:r w:rsidRPr="00777B08">
        <w:t>End-to-end deep learning needs GPU resources during both training and testing, making its use difficult on resource-limited edge devices.</w:t>
      </w:r>
    </w:p>
    <w:p w:rsidR="00D10CA3" w:rsidRPr="00D10CA3" w:rsidRDefault="00D10CA3">
      <w:pPr>
        <w:pStyle w:val="ListParagraph"/>
        <w:numPr>
          <w:ilvl w:val="0"/>
          <w:numId w:val="2"/>
        </w:numPr>
        <w:spacing w:before="55" w:after="55"/>
        <w:jc w:val="both"/>
      </w:pPr>
      <w:r w:rsidRPr="00D10CA3">
        <w:rPr>
          <w:b/>
          <w:bCs/>
          <w:color w:val="2C3E7A"/>
        </w:rPr>
        <w:t xml:space="preserve">Specialization to static signs only: </w:t>
      </w:r>
      <w:r w:rsidRPr="00D10CA3">
        <w:t>The vast majority of the SLR literature concentrates on static signs; dynamic sign language recognition of whole words still poses a challenge.</w:t>
      </w:r>
    </w:p>
    <w:p w:rsidR="00D10CA3" w:rsidRPr="00D10CA3" w:rsidRDefault="00D10CA3" w:rsidP="00D10CA3">
      <w:pPr>
        <w:pStyle w:val="ListParagraph"/>
        <w:numPr>
          <w:ilvl w:val="0"/>
          <w:numId w:val="2"/>
        </w:numPr>
        <w:spacing w:before="60" w:after="60"/>
        <w:jc w:val="both"/>
      </w:pPr>
      <w:r w:rsidRPr="00D10CA3">
        <w:rPr>
          <w:b/>
          <w:bCs/>
          <w:color w:val="2C3E7A"/>
        </w:rPr>
        <w:t xml:space="preserve">Dependence on the signer: </w:t>
      </w:r>
      <w:r w:rsidRPr="00D10CA3">
        <w:t>Published benchmarks typically lack an assessment that is independent of the signer, indicating that the performance on unseen signers could be much worse than claimed.</w:t>
      </w:r>
    </w:p>
    <w:p w:rsidR="009B34EE" w:rsidRDefault="00D10CA3" w:rsidP="00D10CA3">
      <w:pPr>
        <w:spacing w:before="60" w:after="60"/>
        <w:ind w:left="340"/>
        <w:jc w:val="both"/>
      </w:pPr>
      <w:r w:rsidRPr="00D10CA3">
        <w:t>This research project directly tackles the first three limitations by leveraging geometric landmarks and employing SHAP explainability analysis in addition to CPU-only deployment.</w:t>
      </w:r>
      <w:r w:rsidR="00E73DF2">
        <w:t>.</w:t>
      </w:r>
    </w:p>
    <w:p w:rsidR="00205ACE" w:rsidRDefault="00205ACE" w:rsidP="00205ACE"/>
    <w:p w:rsidR="009B34EE" w:rsidRDefault="00E73DF2" w:rsidP="00205ACE">
      <w:r>
        <w:rPr>
          <w:b/>
          <w:bCs/>
          <w:color w:val="2C3E7A"/>
          <w:sz w:val="34"/>
          <w:szCs w:val="34"/>
        </w:rPr>
        <w:t>3.  Objectives</w:t>
      </w:r>
    </w:p>
    <w:p w:rsidR="009B34EE" w:rsidRDefault="00E73DF2">
      <w:pPr>
        <w:pStyle w:val="Heading2"/>
      </w:pPr>
      <w:r>
        <w:t>3.1  General Objective</w:t>
      </w:r>
    </w:p>
    <w:p w:rsidR="009B34EE" w:rsidRDefault="00D10CA3" w:rsidP="00D10CA3">
      <w:pPr>
        <w:spacing w:before="80"/>
        <w:jc w:val="both"/>
      </w:pPr>
      <w:r w:rsidRPr="00D10CA3">
        <w:t>In summary, the aim of this project is to create a complete machine learning pipeline that is capable of classifying 29-class ASL Static Alphabet Classification with maximum accuracy but is fully interpretable through SHAP. The pipeline must have the ability to output serialised production artifacts that can be used for making real-time predictions on a normal consumer-grade computer with no GPU.</w:t>
      </w:r>
    </w:p>
    <w:p w:rsidR="009B34EE" w:rsidRDefault="00E73DF2">
      <w:pPr>
        <w:pStyle w:val="Heading2"/>
      </w:pPr>
      <w:r>
        <w:t>3.2  Specific Objectives</w:t>
      </w:r>
    </w:p>
    <w:p w:rsidR="00D10CA3" w:rsidRPr="00D10CA3" w:rsidRDefault="00D10CA3">
      <w:pPr>
        <w:spacing w:before="60" w:after="60"/>
        <w:jc w:val="both"/>
      </w:pPr>
      <w:r w:rsidRPr="00D10CA3">
        <w:rPr>
          <w:b/>
          <w:bCs/>
          <w:color w:val="2C3E7A"/>
        </w:rPr>
        <w:t xml:space="preserve">SO1 – Data Collection and Exploratory Analysis: </w:t>
      </w:r>
      <w:r w:rsidRPr="00D10CA3">
        <w:t>Collect data from the Kaggle ASL alphabet dataset (87,000 JPEG images and 29 classes). Check for balance in class distribution, image quality, and label corruption by means of exploratory visualization such as class distribution bar graphs and random image grid check.</w:t>
      </w:r>
    </w:p>
    <w:p w:rsidR="00D10CA3" w:rsidRPr="00D10CA3" w:rsidRDefault="00D10CA3">
      <w:pPr>
        <w:spacing w:before="60" w:after="60"/>
        <w:jc w:val="both"/>
      </w:pPr>
      <w:r w:rsidRPr="00D10CA3">
        <w:rPr>
          <w:b/>
          <w:bCs/>
          <w:color w:val="2C3E7A"/>
        </w:rPr>
        <w:t xml:space="preserve">SO2 — Feature Extraction: </w:t>
      </w:r>
      <w:r w:rsidRPr="00D10CA3">
        <w:t>Develop a wrist relative, max-norm normalized 63 dimensional landmark extraction feature based on Google’s MediaPipe HandLandmarker Tasks API (v0.10+). Store extracted features in cache to separate the expensive process of detection from model training iterations.</w:t>
      </w:r>
    </w:p>
    <w:p w:rsidR="00D10CA3" w:rsidRPr="00D10CA3" w:rsidRDefault="00D10CA3">
      <w:pPr>
        <w:spacing w:before="60" w:after="60"/>
        <w:jc w:val="both"/>
      </w:pPr>
      <w:r w:rsidRPr="00D10CA3">
        <w:rPr>
          <w:b/>
          <w:bCs/>
          <w:color w:val="2C3E7A"/>
        </w:rPr>
        <w:t xml:space="preserve">SO3 – Preprocessing Pipeline: </w:t>
      </w:r>
      <w:r w:rsidRPr="00D10CA3">
        <w:t>Convert raw landmark vectors to format suitable for modeling via LabelEncoder (strings to integers), stratified train/test split of 80% and 20%, StandardScaler Z-score normalization, and SMOTE class balancing within the training set.</w:t>
      </w:r>
    </w:p>
    <w:p w:rsidR="00D10CA3" w:rsidRPr="00D10CA3" w:rsidRDefault="00D10CA3">
      <w:pPr>
        <w:spacing w:before="60" w:after="60"/>
        <w:jc w:val="both"/>
      </w:pPr>
      <w:r w:rsidRPr="00D10CA3">
        <w:rPr>
          <w:b/>
          <w:bCs/>
          <w:color w:val="2C3E7A"/>
        </w:rPr>
        <w:t xml:space="preserve">SO4 - Model Training and Optimization: </w:t>
      </w:r>
      <w:r w:rsidRPr="00D10CA3">
        <w:t>Train three models for different learning strategies, viz. K-Nearest Neighbours (KNN), Support Vector Machine (SVM), and Random Forest, using hyperparameter optimization by 5-fold GridSearchCV.</w:t>
      </w:r>
    </w:p>
    <w:p w:rsidR="00D10CA3" w:rsidRPr="00A863FD" w:rsidRDefault="00D10CA3">
      <w:pPr>
        <w:spacing w:before="60" w:after="60"/>
        <w:jc w:val="both"/>
      </w:pPr>
      <w:r w:rsidRPr="00D10CA3">
        <w:rPr>
          <w:b/>
          <w:bCs/>
          <w:color w:val="2C3E7A"/>
        </w:rPr>
        <w:lastRenderedPageBreak/>
        <w:t xml:space="preserve">SO5 – Evaluation &amp; Explainability: </w:t>
      </w:r>
      <w:r w:rsidRPr="00A863FD">
        <w:t>Evaluate models using test accuracy, stability in 5-fold cross-validation, precision/recall/F1 by class, confusion matrices, and SHAP TreeExplainer feature importance rankings of the anatomically important landmark coordinates.</w:t>
      </w:r>
    </w:p>
    <w:p w:rsidR="00205ACE" w:rsidRPr="00A863FD" w:rsidRDefault="00D10CA3" w:rsidP="00205ACE">
      <w:r w:rsidRPr="00D10CA3">
        <w:rPr>
          <w:b/>
          <w:bCs/>
          <w:color w:val="2C3E7A"/>
        </w:rPr>
        <w:t xml:space="preserve">SO6 – Production Deployment: </w:t>
      </w:r>
      <w:r w:rsidRPr="00A863FD">
        <w:t>Serialise all pipeline objects (classifier, scaler, label encoder) using joblib pickle objects and make a predict_sign() method that will return prediction output along with confidence score and top 3 alternate predictions.</w:t>
      </w:r>
    </w:p>
    <w:p w:rsidR="00D10CA3" w:rsidRDefault="00D10CA3" w:rsidP="00205ACE"/>
    <w:p w:rsidR="009B34EE" w:rsidRDefault="00E73DF2" w:rsidP="00205ACE">
      <w:pPr>
        <w:rPr>
          <w:b/>
          <w:bCs/>
          <w:color w:val="2C3E7A"/>
          <w:sz w:val="34"/>
          <w:szCs w:val="34"/>
        </w:rPr>
      </w:pPr>
      <w:r>
        <w:rPr>
          <w:b/>
          <w:bCs/>
          <w:color w:val="2C3E7A"/>
          <w:sz w:val="34"/>
          <w:szCs w:val="34"/>
        </w:rPr>
        <w:t>4.  Methodology</w:t>
      </w:r>
    </w:p>
    <w:p w:rsidR="00205ACE" w:rsidRDefault="00205ACE" w:rsidP="00205ACE"/>
    <w:p w:rsidR="00A863FD" w:rsidRDefault="00A863FD">
      <w:pPr>
        <w:spacing w:before="120" w:after="60"/>
        <w:jc w:val="center"/>
      </w:pPr>
      <w:r w:rsidRPr="00A863FD">
        <w:t>The project methodology is a modular pipeline of a total of six stages performed sequentially. Each stage has been documented in the notebook as an individual module, along with its inputs, outputs, software used, and reasoning behind design decisions. Figure 8 displays the data flow for the entire system while Figure 6 depicts the overall architecture.</w:t>
      </w:r>
    </w:p>
    <w:p w:rsidR="00A863FD" w:rsidRDefault="00A863FD">
      <w:pPr>
        <w:spacing w:before="120" w:after="60"/>
        <w:jc w:val="center"/>
      </w:pPr>
    </w:p>
    <w:p w:rsidR="009B34EE" w:rsidRDefault="00E73DF2">
      <w:pPr>
        <w:spacing w:before="120" w:after="60"/>
        <w:jc w:val="center"/>
      </w:pPr>
      <w:r>
        <w:rPr>
          <w:noProof/>
        </w:rPr>
        <w:drawing>
          <wp:inline distT="0" distB="0" distL="0" distR="0">
            <wp:extent cx="6572250" cy="381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572250" cy="3810000"/>
                    </a:xfrm>
                    <a:prstGeom prst="rect">
                      <a:avLst/>
                    </a:prstGeom>
                  </pic:spPr>
                </pic:pic>
              </a:graphicData>
            </a:graphic>
          </wp:inline>
        </w:drawing>
      </w:r>
    </w:p>
    <w:p w:rsidR="009B34EE" w:rsidRDefault="00E73DF2">
      <w:pPr>
        <w:spacing w:before="40" w:after="180"/>
        <w:jc w:val="center"/>
      </w:pPr>
      <w:r>
        <w:rPr>
          <w:i/>
          <w:iCs/>
          <w:color w:val="555555"/>
          <w:sz w:val="18"/>
          <w:szCs w:val="18"/>
        </w:rPr>
        <w:t>Figure 8 — Detailed step-by-step data flow diagram from raw JPEG input through MediaPipe detection, normalisation, preprocessing, model training, and production inference. Sidebar annotations show key properties at each stage.</w:t>
      </w:r>
    </w:p>
    <w:p w:rsidR="009B34EE" w:rsidRDefault="00E73DF2">
      <w:pPr>
        <w:spacing w:before="120" w:after="60"/>
        <w:jc w:val="center"/>
      </w:pPr>
      <w:r>
        <w:rPr>
          <w:noProof/>
        </w:rPr>
        <w:lastRenderedPageBreak/>
        <w:drawing>
          <wp:inline distT="0" distB="0" distL="0" distR="0">
            <wp:extent cx="6667500" cy="2000250"/>
            <wp:effectExtent l="0" t="0" r="0" b="0"/>
            <wp:docPr id="1198939002" name="Picture 119893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0" cy="2000250"/>
                    </a:xfrm>
                    <a:prstGeom prst="rect">
                      <a:avLst/>
                    </a:prstGeom>
                  </pic:spPr>
                </pic:pic>
              </a:graphicData>
            </a:graphic>
          </wp:inline>
        </w:drawing>
      </w:r>
    </w:p>
    <w:p w:rsidR="009B34EE" w:rsidRDefault="00E73DF2">
      <w:pPr>
        <w:spacing w:before="40" w:after="180"/>
        <w:jc w:val="center"/>
      </w:pPr>
      <w:r>
        <w:rPr>
          <w:i/>
          <w:iCs/>
          <w:color w:val="555555"/>
          <w:sz w:val="18"/>
          <w:szCs w:val="18"/>
        </w:rPr>
        <w:t>Figure 6 — High-level pipeline architecture: seven stages from raw image input to production inference, colour-coded by function type.</w:t>
      </w:r>
    </w:p>
    <w:p w:rsidR="009B34EE" w:rsidRDefault="00E73DF2">
      <w:pPr>
        <w:pStyle w:val="Heading2"/>
      </w:pPr>
      <w:r>
        <w:t>4.1  Dataset</w:t>
      </w:r>
    </w:p>
    <w:p w:rsidR="009B34EE" w:rsidRDefault="00A863FD">
      <w:pPr>
        <w:spacing w:before="120" w:after="60"/>
        <w:jc w:val="center"/>
      </w:pPr>
      <w:r w:rsidRPr="00A863FD">
        <w:t>The ASL Alphabet Dataset (Grassknoted, Kaggle, 2018) consists of 87,000 JPEG images sized at 200 × 200 pixels in 29 classes, evenly divided among the 26 alphabets from A to Z along with three special characters (space, delete, nothing). The ASL dataset was gathered using artificial indoor lighting, one signer and diverse background. Each of the class is precisely populated with 3,000 images as seen in Figure 1.</w:t>
      </w:r>
      <w:r w:rsidR="00E73DF2">
        <w:rPr>
          <w:noProof/>
        </w:rPr>
        <w:drawing>
          <wp:inline distT="0" distB="0" distL="0" distR="0">
            <wp:extent cx="6667500" cy="2571750"/>
            <wp:effectExtent l="0" t="0" r="0" b="5715"/>
            <wp:docPr id="415088053" name="Picture 415088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667500" cy="2571750"/>
                    </a:xfrm>
                    <a:prstGeom prst="rect">
                      <a:avLst/>
                    </a:prstGeom>
                  </pic:spPr>
                </pic:pic>
              </a:graphicData>
            </a:graphic>
          </wp:inline>
        </w:drawing>
      </w:r>
    </w:p>
    <w:p w:rsidR="009B34EE" w:rsidRDefault="00E73DF2">
      <w:pPr>
        <w:spacing w:before="40" w:after="180"/>
        <w:jc w:val="center"/>
      </w:pPr>
      <w:r>
        <w:rPr>
          <w:i/>
          <w:iCs/>
          <w:color w:val="555555"/>
          <w:sz w:val="18"/>
          <w:szCs w:val="18"/>
        </w:rPr>
        <w:t>Figure 1 — Class distribution bar chart for the ASL Alphabet dataset. All 29 classes contain exactly 3,000 images, confirming perfect balance in the raw dataset prior to landmark extraction.</w:t>
      </w:r>
    </w:p>
    <w:p w:rsidR="0093581D" w:rsidRDefault="0093581D">
      <w:pPr>
        <w:pStyle w:val="Heading2"/>
        <w:rPr>
          <w:b w:val="0"/>
          <w:bCs w:val="0"/>
          <w:color w:val="1A1A2E"/>
          <w:sz w:val="21"/>
          <w:szCs w:val="21"/>
        </w:rPr>
      </w:pPr>
      <w:r w:rsidRPr="0093581D">
        <w:rPr>
          <w:b w:val="0"/>
          <w:bCs w:val="0"/>
          <w:color w:val="1A1A2E"/>
          <w:sz w:val="21"/>
          <w:szCs w:val="21"/>
        </w:rPr>
        <w:t>This dataset is downloaded programmatically from Kaggle via the Kaggle CLI API. The only difference here is that, in addition to the training dataset, there is an independent test dataset which consists of 870 images where 30 images belong to each class. But in this project, that is not utilized and instead a 20 percent split from the training dataset has been utilized as the test dataset.</w:t>
      </w:r>
    </w:p>
    <w:p w:rsidR="0093581D" w:rsidRDefault="00E73DF2" w:rsidP="0093581D">
      <w:pPr>
        <w:pStyle w:val="Heading2"/>
      </w:pPr>
      <w:r>
        <w:t>4.2  Feature Extraction — MediaPipe Hand Landmark Detection</w:t>
      </w:r>
    </w:p>
    <w:p w:rsidR="0093581D" w:rsidRPr="0093581D" w:rsidRDefault="0093581D" w:rsidP="0093581D">
      <w:pPr>
        <w:pStyle w:val="Heading2"/>
      </w:pPr>
      <w:r w:rsidRPr="0093581D">
        <w:rPr>
          <w:b w:val="0"/>
          <w:bCs w:val="0"/>
          <w:color w:val="1A1A2E"/>
          <w:sz w:val="21"/>
          <w:szCs w:val="21"/>
        </w:rPr>
        <w:t>Each image is processed using Google MediaPipe HandLandmarker, which first detects the hand and then identifies 21 key points (landmarks) on the hand. These points follow the standard MediaPipe numbering system shown in Figure 7.</w:t>
      </w:r>
    </w:p>
    <w:p w:rsidR="009B34EE" w:rsidRDefault="00E73DF2">
      <w:pPr>
        <w:spacing w:before="120" w:after="60"/>
        <w:jc w:val="center"/>
      </w:pPr>
      <w:r>
        <w:rPr>
          <w:noProof/>
        </w:rPr>
        <w:lastRenderedPageBreak/>
        <w:drawing>
          <wp:inline distT="0" distB="0" distL="0" distR="0">
            <wp:extent cx="5894331" cy="3346577"/>
            <wp:effectExtent l="0" t="0" r="0" b="3175"/>
            <wp:docPr id="246363889" name="Picture 246363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94331" cy="3346577"/>
                    </a:xfrm>
                    <a:prstGeom prst="rect">
                      <a:avLst/>
                    </a:prstGeom>
                  </pic:spPr>
                </pic:pic>
              </a:graphicData>
            </a:graphic>
          </wp:inline>
        </w:drawing>
      </w:r>
    </w:p>
    <w:p w:rsidR="009B34EE" w:rsidRDefault="00E73DF2">
      <w:pPr>
        <w:spacing w:before="40" w:after="180"/>
        <w:jc w:val="center"/>
      </w:pPr>
      <w:r>
        <w:rPr>
          <w:i/>
          <w:iCs/>
          <w:color w:val="555555"/>
          <w:sz w:val="18"/>
          <w:szCs w:val="18"/>
        </w:rPr>
        <w:t>Figure 7 — MediaPipe 21-landmark hand skeleton: wrist (lm00, purple), knuckle joints (teal), and fingertips (coral, lm04/08/12/16/20). Each landmark provides (x, y, z) coordinates yielding 63 features total.</w:t>
      </w:r>
    </w:p>
    <w:p w:rsidR="00BC008E" w:rsidRDefault="00BC008E">
      <w:pPr>
        <w:spacing w:before="60" w:after="60"/>
        <w:jc w:val="both"/>
      </w:pPr>
      <w:r w:rsidRPr="00BC008E">
        <w:t>The coordinates of the landmarks calculated by MediaPipe are defined with respect to the origin of the image frame and depend on the hand size. In order to obtain pose-invariant descriptors, two types of normalizations have been used. The first is the subtraction of the coordinates of the wrist landmark (the 0th landmark) from all 21 landmarks' coordinates, which shifts the coordinate system in such a way that the wrist landmark becomes the origin. The second one is dividing all coordinates by the maximum absolute value among the 63 dimensional coordinates (with an additional epsilon for numerical stability), which scales the coordinates in such a way that the maximal displacement becomes ±1.</w:t>
      </w:r>
    </w:p>
    <w:p w:rsidR="009B34EE" w:rsidRDefault="00BC008E">
      <w:pPr>
        <w:spacing w:before="60" w:after="60"/>
        <w:jc w:val="both"/>
      </w:pPr>
      <w:r w:rsidRPr="00BC008E">
        <w:t>Images where MediaPipe cannot detect any hands are automatically excluded. Out of the total sampled images, 5,030 yielded vectors of landmarks (detection rate of 86.7%, while 13.3% failed). Failure cases were due to extreme hand positioning, severe hand occlusion, and poor image contrast in some of the images. Normalization equation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B34EE">
        <w:tc>
          <w:tcPr>
            <w:tcW w:w="9360" w:type="dxa"/>
            <w:tcBorders>
              <w:top w:val="single" w:sz="3" w:space="0" w:color="185FA5"/>
              <w:left w:val="thick" w:sz="14" w:space="0" w:color="185FA5"/>
              <w:bottom w:val="single" w:sz="3" w:space="0" w:color="185FA5"/>
              <w:right w:val="single" w:sz="3" w:space="0" w:color="185FA5"/>
            </w:tcBorders>
            <w:shd w:val="clear" w:color="auto" w:fill="EEF7FF"/>
            <w:tcMar>
              <w:top w:w="100" w:type="dxa"/>
              <w:left w:w="200" w:type="dxa"/>
              <w:bottom w:w="100" w:type="dxa"/>
              <w:right w:w="120" w:type="dxa"/>
            </w:tcMar>
          </w:tcPr>
          <w:p w:rsidR="009B34EE" w:rsidRDefault="00BC008E">
            <w:pPr>
              <w:jc w:val="both"/>
            </w:pPr>
            <w:r w:rsidRPr="00BC008E">
              <w:rPr>
                <w:i/>
                <w:iCs/>
                <w:color w:val="185FA5"/>
              </w:rPr>
              <w:t>Normalisation equation: coords ← (coords - coords[0]) / (max|coords| + ε) where coords[0] is the point on the wrist, ε = 1×10</w:t>
            </w:r>
            <w:r w:rsidRPr="00BC008E">
              <w:rPr>
                <w:rFonts w:ascii="Cambria Math" w:hAnsi="Cambria Math" w:cs="Cambria Math"/>
                <w:i/>
                <w:iCs/>
                <w:color w:val="185FA5"/>
              </w:rPr>
              <w:t>⁻</w:t>
            </w:r>
            <w:r w:rsidRPr="00BC008E">
              <w:rPr>
                <w:i/>
                <w:iCs/>
                <w:color w:val="185FA5"/>
              </w:rPr>
              <w:t>⁶ avoids dividing by zero, and max|coords| is the maximum absolute value across all 63 dimensions of the coordinates.</w:t>
            </w:r>
          </w:p>
        </w:tc>
      </w:tr>
    </w:tbl>
    <w:p w:rsidR="009B34EE" w:rsidRDefault="009B34E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9B34EE">
        <w:trPr>
          <w:tblHeader/>
        </w:trPr>
        <w:tc>
          <w:tcPr>
            <w:tcW w:w="380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t>Property</w:t>
            </w:r>
          </w:p>
        </w:tc>
        <w:tc>
          <w:tcPr>
            <w:tcW w:w="556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t>Value</w:t>
            </w:r>
          </w:p>
        </w:tc>
      </w:tr>
      <w:tr w:rsidR="009B34EE">
        <w:tc>
          <w:tcPr>
            <w:tcW w:w="38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Landmark model</w:t>
            </w:r>
          </w:p>
        </w:tc>
        <w:tc>
          <w:tcPr>
            <w:tcW w:w="556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MediaPipe HandLandmarker Tasks API (v0.10+)</w:t>
            </w:r>
          </w:p>
        </w:tc>
      </w:tr>
      <w:tr w:rsidR="009B34EE">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Number of keypoints</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21 (wrist + 4 joints per finger × 5 fingers)</w:t>
            </w:r>
          </w:p>
        </w:tc>
      </w:tr>
      <w:tr w:rsidR="009B34EE">
        <w:tc>
          <w:tcPr>
            <w:tcW w:w="38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Coordinates per keypoint</w:t>
            </w:r>
          </w:p>
        </w:tc>
        <w:tc>
          <w:tcPr>
            <w:tcW w:w="556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3 (x, y, z)</w:t>
            </w:r>
          </w:p>
        </w:tc>
      </w:tr>
      <w:tr w:rsidR="009B34EE">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Feature vector length</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63 = 21 × 3</w:t>
            </w:r>
          </w:p>
        </w:tc>
      </w:tr>
      <w:tr w:rsidR="009B34EE">
        <w:tc>
          <w:tcPr>
            <w:tcW w:w="38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Normalisation</w:t>
            </w:r>
          </w:p>
        </w:tc>
        <w:tc>
          <w:tcPr>
            <w:tcW w:w="556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Wrist-relative translation + max-absolute-value scaling</w:t>
            </w:r>
          </w:p>
        </w:tc>
      </w:tr>
      <w:tr w:rsidR="009B34EE">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Detection failure rate</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13.3% (770 / 5,800 sampled images)</w:t>
            </w:r>
          </w:p>
        </w:tc>
      </w:tr>
      <w:tr w:rsidR="009B34EE">
        <w:tc>
          <w:tcPr>
            <w:tcW w:w="38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Valid samples for training</w:t>
            </w:r>
          </w:p>
        </w:tc>
        <w:tc>
          <w:tcPr>
            <w:tcW w:w="556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5,030 images</w:t>
            </w:r>
          </w:p>
        </w:tc>
      </w:tr>
    </w:tbl>
    <w:p w:rsidR="009B34EE" w:rsidRDefault="00E73DF2">
      <w:pPr>
        <w:spacing w:before="60" w:after="180"/>
        <w:jc w:val="center"/>
      </w:pPr>
      <w:r>
        <w:rPr>
          <w:i/>
          <w:iCs/>
          <w:color w:val="555555"/>
          <w:sz w:val="18"/>
          <w:szCs w:val="18"/>
        </w:rPr>
        <w:t>Table 1 — MediaPipe feature extraction configuration and statistics.</w:t>
      </w:r>
    </w:p>
    <w:p w:rsidR="009B34EE" w:rsidRDefault="00E73DF2">
      <w:pPr>
        <w:pStyle w:val="Heading2"/>
      </w:pPr>
      <w:r>
        <w:lastRenderedPageBreak/>
        <w:t>4.3  Preprocessing Pipeline</w:t>
      </w:r>
    </w:p>
    <w:p w:rsidR="00BC008E" w:rsidRDefault="00BC008E" w:rsidP="00BC008E">
      <w:pPr>
        <w:spacing w:before="120" w:after="60"/>
        <w:jc w:val="both"/>
      </w:pPr>
      <w:r w:rsidRPr="00BC008E">
        <w:t>Four stages of preprocessing are successively performed to transform the first landmarks matrix into the second one that could be used for classification with the help of classifiers from scikit-learn library. The order is crucial as scaling must precede SMOTE in order to avoid the leakage of statistics of generated samples into the scaler.</w:t>
      </w:r>
    </w:p>
    <w:p w:rsidR="009B34EE" w:rsidRDefault="00E73DF2" w:rsidP="00BC008E">
      <w:pPr>
        <w:spacing w:before="120" w:after="60"/>
        <w:jc w:val="both"/>
      </w:pPr>
      <w:r>
        <w:rPr>
          <w:noProof/>
        </w:rPr>
        <w:drawing>
          <wp:inline distT="0" distB="0" distL="0" distR="0">
            <wp:extent cx="6667500" cy="2571750"/>
            <wp:effectExtent l="0" t="0" r="0" b="0"/>
            <wp:docPr id="1364511676" name="Picture 1364511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667500" cy="2571750"/>
                    </a:xfrm>
                    <a:prstGeom prst="rect">
                      <a:avLst/>
                    </a:prstGeom>
                  </pic:spPr>
                </pic:pic>
              </a:graphicData>
            </a:graphic>
          </wp:inline>
        </w:drawing>
      </w:r>
    </w:p>
    <w:p w:rsidR="009B34EE" w:rsidRDefault="00E73DF2">
      <w:pPr>
        <w:spacing w:before="40" w:after="180"/>
        <w:jc w:val="center"/>
      </w:pPr>
      <w:r>
        <w:rPr>
          <w:i/>
          <w:iCs/>
          <w:color w:val="555555"/>
          <w:sz w:val="18"/>
          <w:szCs w:val="18"/>
        </w:rPr>
        <w:t>Figure 11 — Left: Feature value distribution before and after StandardScaler z-score normalisation (features become zero-mean, unit-variance). Right: Training set class balance before and after SMOTE oversampling restores parity across all 29 classes.</w:t>
      </w:r>
    </w:p>
    <w:p w:rsidR="00BC008E" w:rsidRPr="00832767" w:rsidRDefault="00BC008E" w:rsidP="00832767">
      <w:pPr>
        <w:pStyle w:val="ListParagraph"/>
        <w:numPr>
          <w:ilvl w:val="0"/>
          <w:numId w:val="8"/>
        </w:numPr>
        <w:spacing w:before="55" w:after="55"/>
        <w:jc w:val="both"/>
        <w:rPr>
          <w:b/>
          <w:bCs/>
          <w:color w:val="2C3E7A"/>
        </w:rPr>
      </w:pPr>
      <w:r w:rsidRPr="00832767">
        <w:rPr>
          <w:b/>
          <w:bCs/>
          <w:color w:val="2C3E7A"/>
        </w:rPr>
        <w:t xml:space="preserve">Step 1 — Label Encoding: </w:t>
      </w:r>
      <w:r w:rsidRPr="00832767">
        <w:t>String class names ("A", "B", ..., "space") are mapped to integer indices (0–28) using scikit-learn LabelEncoder. The fitted encoder is serialised for inference-time class name recovery</w:t>
      </w:r>
      <w:r w:rsidRPr="00832767">
        <w:rPr>
          <w:b/>
          <w:bCs/>
          <w:color w:val="2C3E7A"/>
        </w:rPr>
        <w:t>.</w:t>
      </w:r>
    </w:p>
    <w:p w:rsidR="00BC008E" w:rsidRPr="00BC008E" w:rsidRDefault="00BC008E" w:rsidP="00832767">
      <w:pPr>
        <w:pStyle w:val="ListParagraph"/>
        <w:numPr>
          <w:ilvl w:val="0"/>
          <w:numId w:val="8"/>
        </w:numPr>
        <w:spacing w:before="55" w:after="55"/>
        <w:jc w:val="both"/>
      </w:pPr>
      <w:r w:rsidRPr="00832767">
        <w:rPr>
          <w:b/>
          <w:bCs/>
          <w:color w:val="2C3E7A"/>
        </w:rPr>
        <w:t xml:space="preserve">Step 2 — Stratified Split: </w:t>
      </w:r>
      <w:r w:rsidRPr="00832767">
        <w:t>The 5,030 labelled samples are divided into 80% training (4,024 samples) and 20% test (1,006 samples) using stratified random splitting, ensuring each class is proportionally represented in both partitions.</w:t>
      </w:r>
    </w:p>
    <w:p w:rsidR="00832767" w:rsidRPr="00832767" w:rsidRDefault="00832767" w:rsidP="00832767">
      <w:pPr>
        <w:pStyle w:val="ListParagraph"/>
        <w:numPr>
          <w:ilvl w:val="0"/>
          <w:numId w:val="8"/>
        </w:numPr>
        <w:spacing w:before="55" w:after="55"/>
        <w:jc w:val="both"/>
      </w:pPr>
      <w:r w:rsidRPr="00832767">
        <w:rPr>
          <w:b/>
          <w:bCs/>
          <w:color w:val="2C3E7A"/>
        </w:rPr>
        <w:t xml:space="preserve">Step 3 — StandardScaler: </w:t>
      </w:r>
      <w:r w:rsidRPr="00832767">
        <w:t>For each dimension of 63 feature variables, independent standardisation is carried out such that their means equal zero and standard deviations become unity (z-score normalisation). The scaler is trained only using the 4,024 training samples and used equivalently on both training and test data sets. This pre-processing step is absolutely required for KNN and SVM because distance measures used in these two classifiers put higher weights on features having large magnitudes.</w:t>
      </w:r>
    </w:p>
    <w:p w:rsidR="00BC008E" w:rsidRDefault="00832767" w:rsidP="00832767">
      <w:pPr>
        <w:pStyle w:val="ListParagraph"/>
        <w:numPr>
          <w:ilvl w:val="0"/>
          <w:numId w:val="8"/>
        </w:numPr>
        <w:spacing w:before="55" w:after="55"/>
        <w:jc w:val="both"/>
      </w:pPr>
      <w:r w:rsidRPr="00832767">
        <w:rPr>
          <w:b/>
          <w:bCs/>
          <w:color w:val="2C3E7A"/>
        </w:rPr>
        <w:t xml:space="preserve">Step 4 — SMOTE: </w:t>
      </w:r>
      <w:r w:rsidRPr="00832767">
        <w:t>Synthetic Minority Over-sampling Technique (SMOTE) generates synthetic examples for under-represented classes. Since detection errors are not uniformly distributed among 29 classes, some classes contained less number of training samples. Using SMOTE, the training samples are increased from 4,024 to 4,480 samples.</w:t>
      </w:r>
    </w:p>
    <w:p w:rsidR="00BC008E" w:rsidRDefault="00BC008E" w:rsidP="00BC008E">
      <w:pPr>
        <w:spacing w:before="55" w:after="55"/>
        <w:jc w:val="both"/>
      </w:pPr>
    </w:p>
    <w:p w:rsidR="00BC008E" w:rsidRDefault="00BC008E" w:rsidP="00BC008E">
      <w:pPr>
        <w:spacing w:before="55" w:after="55"/>
        <w:jc w:val="both"/>
      </w:pPr>
    </w:p>
    <w:p w:rsidR="00BC008E" w:rsidRDefault="00BC008E" w:rsidP="00BC008E">
      <w:pPr>
        <w:spacing w:before="55" w:after="55"/>
        <w:jc w:val="both"/>
      </w:pPr>
    </w:p>
    <w:p w:rsidR="00BC008E" w:rsidRDefault="00BC008E" w:rsidP="00BC008E">
      <w:pPr>
        <w:spacing w:before="55" w:after="55"/>
        <w:jc w:val="both"/>
      </w:pPr>
    </w:p>
    <w:p w:rsidR="00BC008E" w:rsidRDefault="00BC008E" w:rsidP="00BC008E">
      <w:pPr>
        <w:spacing w:before="55" w:after="55"/>
        <w:jc w:val="both"/>
      </w:pPr>
    </w:p>
    <w:p w:rsidR="00BC008E" w:rsidRDefault="00BC008E" w:rsidP="00BC008E">
      <w:pPr>
        <w:spacing w:before="55" w:after="55"/>
        <w:jc w:val="both"/>
      </w:pPr>
    </w:p>
    <w:p w:rsidR="001F3D84" w:rsidRDefault="001F3D84" w:rsidP="001F3D84">
      <w:pPr>
        <w:spacing w:before="55" w:after="55"/>
        <w:ind w:left="34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2167"/>
        <w:gridCol w:w="2132"/>
        <w:gridCol w:w="2095"/>
        <w:gridCol w:w="1224"/>
      </w:tblGrid>
      <w:tr w:rsidR="009B34EE">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lastRenderedPageBreak/>
              <w:t>Step</w:t>
            </w:r>
          </w:p>
        </w:tc>
        <w:tc>
          <w:tcPr>
            <w:tcW w:w="220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t>Technique</w:t>
            </w:r>
          </w:p>
        </w:tc>
        <w:tc>
          <w:tcPr>
            <w:tcW w:w="220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t>Input Shape</w:t>
            </w:r>
          </w:p>
        </w:tc>
        <w:tc>
          <w:tcPr>
            <w:tcW w:w="216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t>Output Shape</w:t>
            </w:r>
          </w:p>
        </w:tc>
        <w:tc>
          <w:tcPr>
            <w:tcW w:w="100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t>Rationale</w:t>
            </w:r>
          </w:p>
        </w:tc>
      </w:tr>
      <w:tr w:rsidR="009B34EE">
        <w:tc>
          <w:tcPr>
            <w:tcW w:w="18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LabelEncoder</w:t>
            </w:r>
          </w:p>
        </w:tc>
        <w:tc>
          <w:tcPr>
            <w:tcW w:w="22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(5030,)</w:t>
            </w:r>
          </w:p>
        </w:tc>
        <w:tc>
          <w:tcPr>
            <w:tcW w:w="216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(5030,)</w:t>
            </w:r>
          </w:p>
        </w:tc>
        <w:tc>
          <w:tcPr>
            <w:tcW w:w="10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Integer targets required by sklearn</w:t>
            </w:r>
          </w:p>
        </w:tc>
      </w:tr>
      <w:tr w:rsidR="009B34EE">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Stratified Split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(5030, 63)</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Train: (4024, 63) / Test: (1006, 63)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Class-proportional evaluation</w:t>
            </w:r>
          </w:p>
        </w:tc>
      </w:tr>
      <w:tr w:rsidR="009B34EE">
        <w:tc>
          <w:tcPr>
            <w:tcW w:w="18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StandardScaler</w:t>
            </w:r>
          </w:p>
        </w:tc>
        <w:tc>
          <w:tcPr>
            <w:tcW w:w="22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(4024, 63)</w:t>
            </w:r>
          </w:p>
        </w:tc>
        <w:tc>
          <w:tcPr>
            <w:tcW w:w="216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(4024, 63) z-scored</w:t>
            </w:r>
          </w:p>
        </w:tc>
        <w:tc>
          <w:tcPr>
            <w:tcW w:w="10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Distance-based models require scaling</w:t>
            </w:r>
          </w:p>
        </w:tc>
      </w:tr>
      <w:tr w:rsidR="009B34EE">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SMOTE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(4024, 63)</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(4480, 63)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Restores class balance after detection failures</w:t>
            </w:r>
          </w:p>
        </w:tc>
      </w:tr>
    </w:tbl>
    <w:p w:rsidR="009B34EE" w:rsidRDefault="00E73DF2">
      <w:pPr>
        <w:spacing w:before="60" w:after="180"/>
        <w:jc w:val="center"/>
      </w:pPr>
      <w:r>
        <w:rPr>
          <w:i/>
          <w:iCs/>
          <w:color w:val="555555"/>
          <w:sz w:val="18"/>
          <w:szCs w:val="18"/>
        </w:rPr>
        <w:t>Table 2 — Preprocessing pipeline: four sequential steps with shapes and rationale.</w:t>
      </w:r>
    </w:p>
    <w:p w:rsidR="009B34EE" w:rsidRDefault="00E73DF2">
      <w:pPr>
        <w:pStyle w:val="Heading2"/>
      </w:pPr>
      <w:r>
        <w:t>4.4  Classifier Architectures</w:t>
      </w:r>
    </w:p>
    <w:p w:rsidR="009B34EE" w:rsidRDefault="00E73DF2">
      <w:pPr>
        <w:spacing w:before="60" w:after="60"/>
        <w:jc w:val="both"/>
      </w:pPr>
      <w:r>
        <w:t>Three classifiers representing fundamentally different mathematical paradigms are trained and compared. This diversity ensures that performance conclusions are not specific to one algorithmic family.</w:t>
      </w:r>
    </w:p>
    <w:p w:rsidR="009B34EE" w:rsidRDefault="00E73DF2">
      <w:pPr>
        <w:pStyle w:val="Heading3"/>
      </w:pPr>
      <w:r>
        <w:t>4.4.1  K-Nearest Neighbours (KNN)</w:t>
      </w:r>
    </w:p>
    <w:p w:rsidR="00832767" w:rsidRDefault="00832767">
      <w:pPr>
        <w:pStyle w:val="Heading3"/>
        <w:rPr>
          <w:b w:val="0"/>
          <w:bCs w:val="0"/>
          <w:color w:val="1A1A2E"/>
          <w:sz w:val="21"/>
          <w:szCs w:val="21"/>
        </w:rPr>
      </w:pPr>
      <w:r w:rsidRPr="00832767">
        <w:rPr>
          <w:b w:val="0"/>
          <w:bCs w:val="0"/>
          <w:color w:val="1A1A2E"/>
          <w:sz w:val="21"/>
          <w:szCs w:val="21"/>
        </w:rPr>
        <w:t xml:space="preserve">KNN is an instance-based learning algorithm which performs all computations during inference time. The algorithm calculates the Euclidean distance from the test instance to each of the 4,480 training instances, picks the k closest neighbors, and produces the label of the class that is dominant among them, weighted by the reciprocal of the distance. There is no parameter training; the whole training dataset becomes the model itself. This leads to great flexibility of the model but also increases the computational cost during inference (O(n·d) per prediction where n – size of training set, d = 63). Search space for hyperparameter tuning through 5-fold GridSearchCV: k </w:t>
      </w:r>
      <w:r w:rsidRPr="00832767">
        <w:rPr>
          <w:rFonts w:ascii="Cambria Math" w:hAnsi="Cambria Math" w:cs="Cambria Math"/>
          <w:b w:val="0"/>
          <w:bCs w:val="0"/>
          <w:color w:val="1A1A2E"/>
          <w:sz w:val="21"/>
          <w:szCs w:val="21"/>
        </w:rPr>
        <w:t>∈</w:t>
      </w:r>
      <w:r w:rsidRPr="00832767">
        <w:rPr>
          <w:b w:val="0"/>
          <w:bCs w:val="0"/>
          <w:color w:val="1A1A2E"/>
          <w:sz w:val="21"/>
          <w:szCs w:val="21"/>
        </w:rPr>
        <w:t xml:space="preserve"> {1, 3, 5, 7, 9, 11, 13, 15}, metric </w:t>
      </w:r>
      <w:r w:rsidRPr="00832767">
        <w:rPr>
          <w:rFonts w:ascii="Cambria Math" w:hAnsi="Cambria Math" w:cs="Cambria Math"/>
          <w:b w:val="0"/>
          <w:bCs w:val="0"/>
          <w:color w:val="1A1A2E"/>
          <w:sz w:val="21"/>
          <w:szCs w:val="21"/>
        </w:rPr>
        <w:t>∈</w:t>
      </w:r>
      <w:r w:rsidRPr="00832767">
        <w:rPr>
          <w:b w:val="0"/>
          <w:bCs w:val="0"/>
          <w:color w:val="1A1A2E"/>
          <w:sz w:val="21"/>
          <w:szCs w:val="21"/>
        </w:rPr>
        <w:t xml:space="preserve"> {Euclidean, Manhattan}, weighting </w:t>
      </w:r>
      <w:r w:rsidRPr="00832767">
        <w:rPr>
          <w:rFonts w:ascii="Cambria Math" w:hAnsi="Cambria Math" w:cs="Cambria Math"/>
          <w:b w:val="0"/>
          <w:bCs w:val="0"/>
          <w:color w:val="1A1A2E"/>
          <w:sz w:val="21"/>
          <w:szCs w:val="21"/>
        </w:rPr>
        <w:t>∈</w:t>
      </w:r>
      <w:r w:rsidRPr="00832767">
        <w:rPr>
          <w:b w:val="0"/>
          <w:bCs w:val="0"/>
          <w:color w:val="1A1A2E"/>
          <w:sz w:val="21"/>
          <w:szCs w:val="21"/>
        </w:rPr>
        <w:t xml:space="preserve"> {uniform, distance}.</w:t>
      </w:r>
    </w:p>
    <w:p w:rsidR="009B34EE" w:rsidRDefault="00E73DF2">
      <w:pPr>
        <w:pStyle w:val="Heading3"/>
      </w:pPr>
      <w:r>
        <w:t>4.4.2  Support Vector Machine (SVM)</w:t>
      </w:r>
    </w:p>
    <w:p w:rsidR="00832767" w:rsidRDefault="00832767" w:rsidP="00832767">
      <w:pPr>
        <w:spacing w:before="120" w:after="60"/>
        <w:jc w:val="both"/>
      </w:pPr>
      <w:r w:rsidRPr="00832767">
        <w:t xml:space="preserve">SVM determines the maximal margin hyperplane in the kernel generated feature space which classifies the 29 classes (multi-class approach where one versus one technique is applied to generate a total of C(29,2)= 406 classifiers). The RBF kernel K(x, y)= exp(−γ||x−y||²) implicitly performs the mapping from 63 dimensional landmark vectors into an infinite dimensional Hilbert space in which non-linearly separable classes become separable using linear classification techniques. C regulates the bias and variance trade-off wherein a higher value of C provides a tighter fit to the training data but overfitting becomes a problem. Hyper-parameters optimized: kernel </w:t>
      </w:r>
      <w:r w:rsidRPr="00832767">
        <w:rPr>
          <w:rFonts w:ascii="Cambria Math" w:hAnsi="Cambria Math" w:cs="Cambria Math"/>
        </w:rPr>
        <w:t>∈</w:t>
      </w:r>
      <w:r w:rsidRPr="00832767">
        <w:t xml:space="preserve"> {RBF, polynomial}, C </w:t>
      </w:r>
      <w:r w:rsidRPr="00832767">
        <w:rPr>
          <w:rFonts w:ascii="Cambria Math" w:hAnsi="Cambria Math" w:cs="Cambria Math"/>
        </w:rPr>
        <w:t>∈</w:t>
      </w:r>
      <w:r w:rsidRPr="00832767">
        <w:t xml:space="preserve"> {0.1, 1, 10, 100}, gamma </w:t>
      </w:r>
      <w:r w:rsidRPr="00832767">
        <w:rPr>
          <w:rFonts w:ascii="Cambria Math" w:hAnsi="Cambria Math" w:cs="Cambria Math"/>
        </w:rPr>
        <w:t>∈</w:t>
      </w:r>
      <w:r w:rsidRPr="00832767">
        <w:t xml:space="preserve"> {scale, auto}.</w:t>
      </w:r>
    </w:p>
    <w:p w:rsidR="009B34EE" w:rsidRDefault="00E73DF2" w:rsidP="00832767">
      <w:pPr>
        <w:spacing w:before="120" w:after="60"/>
        <w:jc w:val="both"/>
      </w:pPr>
      <w:r>
        <w:rPr>
          <w:noProof/>
        </w:rPr>
        <w:lastRenderedPageBreak/>
        <w:drawing>
          <wp:inline distT="0" distB="0" distL="0" distR="0">
            <wp:extent cx="6483096" cy="2871085"/>
            <wp:effectExtent l="0" t="0" r="0" b="0"/>
            <wp:docPr id="446868615" name="Picture 446868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500218" cy="2878668"/>
                    </a:xfrm>
                    <a:prstGeom prst="rect">
                      <a:avLst/>
                    </a:prstGeom>
                  </pic:spPr>
                </pic:pic>
              </a:graphicData>
            </a:graphic>
          </wp:inline>
        </w:drawing>
      </w:r>
    </w:p>
    <w:p w:rsidR="009B34EE" w:rsidRDefault="00E73DF2">
      <w:pPr>
        <w:spacing w:before="40" w:after="180"/>
        <w:jc w:val="center"/>
      </w:pPr>
      <w:r>
        <w:rPr>
          <w:i/>
          <w:iCs/>
          <w:color w:val="555555"/>
          <w:sz w:val="18"/>
          <w:szCs w:val="18"/>
        </w:rPr>
        <w:t>Figure 9 — SVM classification architecture. The 63-dimensional landmark vector is z-score scaled, then lifted into a high-dimensional kernel space by the RBF function, where the maximum-margin hyperplane separates the 29 sign classes. Final class assignment uses one-versus-one multi-class voting.</w:t>
      </w:r>
    </w:p>
    <w:p w:rsidR="009B34EE" w:rsidRDefault="00E73DF2">
      <w:pPr>
        <w:pStyle w:val="Heading3"/>
      </w:pPr>
      <w:r>
        <w:t>4.4.3  Random Forest (Benchmark)</w:t>
      </w:r>
    </w:p>
    <w:p w:rsidR="009B34EE" w:rsidRDefault="00832767" w:rsidP="00832767">
      <w:pPr>
        <w:spacing w:before="120" w:after="60"/>
        <w:jc w:val="both"/>
      </w:pPr>
      <w:r w:rsidRPr="00832767">
        <w:t>Random Forest is a collection of 300 decision trees that are trained on a bootstrap sample of the 4,480 training samples with a random selection of √63 = 8 attributes at each node. It is less sensitive to variance than single decision trees thanks to its averaging property, it can natively deal with non-linear feature interactions, no feature scaling is needed, and it allows for feature importance from trees as well as SHAP-friendly structure. No hyperparameters are tuned; 300 decision trees constitute a popular benchmark.</w:t>
      </w:r>
      <w:r w:rsidR="00E73DF2">
        <w:rPr>
          <w:noProof/>
        </w:rPr>
        <w:drawing>
          <wp:inline distT="0" distB="0" distL="0" distR="0">
            <wp:extent cx="6667500" cy="3143250"/>
            <wp:effectExtent l="0" t="0" r="0" b="0"/>
            <wp:docPr id="1831737403" name="Picture 1831737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667500" cy="3143250"/>
                    </a:xfrm>
                    <a:prstGeom prst="rect">
                      <a:avLst/>
                    </a:prstGeom>
                  </pic:spPr>
                </pic:pic>
              </a:graphicData>
            </a:graphic>
          </wp:inline>
        </w:drawing>
      </w:r>
    </w:p>
    <w:p w:rsidR="00832767" w:rsidRDefault="00832767">
      <w:pPr>
        <w:spacing w:before="40" w:after="180"/>
        <w:jc w:val="center"/>
        <w:rPr>
          <w:i/>
          <w:iCs/>
          <w:color w:val="555555"/>
          <w:sz w:val="18"/>
          <w:szCs w:val="18"/>
        </w:rPr>
      </w:pPr>
      <w:r w:rsidRPr="00832767">
        <w:rPr>
          <w:i/>
          <w:iCs/>
          <w:color w:val="555555"/>
          <w:sz w:val="18"/>
          <w:szCs w:val="18"/>
        </w:rPr>
        <w:t>Figure 10 – Architecture of random forest ensemble model. The three trees (out of 300) are depicted here. Each of them performs classification independently and the ensemble takes a majority vote. Calculation of Shapley values of all 63 features is performed by SHAP TreeExplainer on this architecture.</w:t>
      </w:r>
    </w:p>
    <w:p w:rsidR="00832767" w:rsidRDefault="00832767">
      <w:pPr>
        <w:spacing w:before="40" w:after="180"/>
        <w:jc w:val="center"/>
      </w:pPr>
    </w:p>
    <w:p w:rsidR="009B34EE" w:rsidRDefault="00E73DF2" w:rsidP="001F3D84">
      <w:r>
        <w:rPr>
          <w:b/>
          <w:bCs/>
          <w:color w:val="2C3E7A"/>
          <w:sz w:val="34"/>
          <w:szCs w:val="34"/>
        </w:rPr>
        <w:lastRenderedPageBreak/>
        <w:t>5.  Experiments and Results</w:t>
      </w:r>
    </w:p>
    <w:p w:rsidR="009B34EE" w:rsidRDefault="00E73DF2">
      <w:pPr>
        <w:pStyle w:val="Heading2"/>
      </w:pPr>
      <w:r>
        <w:t>5.1  Evaluation Protocol</w:t>
      </w:r>
    </w:p>
    <w:p w:rsidR="009B34EE" w:rsidRDefault="00832767">
      <w:pPr>
        <w:spacing w:before="80"/>
      </w:pPr>
      <w:r w:rsidRPr="00832767">
        <w:t>All the classifiers are tested on a single test set (1,006 images, 20% stratified sampling) which was not used in training or hyperparameter tuning. For the evaluation process, four different evaluation measures have been adopted: (1) test set accuracy as the main benchmark measure; (2) 5-fold stratified cross-validation on the best classifier to evaluate generalisation variance; (3) per class precision, recall, and F1-score to check for the presence of misclassifications of specific sign types; and (4) SHAP Tree Explainer to understand the anatomical importance of features used for classification. Also, a Principal Component Analysis is performed on the feature space.</w:t>
      </w:r>
    </w:p>
    <w:p w:rsidR="00832767" w:rsidRDefault="0083276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600"/>
        <w:gridCol w:w="2760"/>
      </w:tblGrid>
      <w:tr w:rsidR="009B34EE">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t>Metric</w:t>
            </w:r>
          </w:p>
        </w:tc>
        <w:tc>
          <w:tcPr>
            <w:tcW w:w="360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t>Purpose</w:t>
            </w:r>
          </w:p>
        </w:tc>
        <w:tc>
          <w:tcPr>
            <w:tcW w:w="276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t>Applied To</w:t>
            </w:r>
          </w:p>
        </w:tc>
      </w:tr>
      <w:tr w:rsidR="009B34EE">
        <w:tc>
          <w:tcPr>
            <w:tcW w:w="30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Test accuracy</w:t>
            </w:r>
          </w:p>
        </w:tc>
        <w:tc>
          <w:tcPr>
            <w:tcW w:w="36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Primary accuracy benchmark</w:t>
            </w:r>
          </w:p>
        </w:tc>
        <w:tc>
          <w:tcPr>
            <w:tcW w:w="276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All 3 models</w:t>
            </w:r>
          </w:p>
        </w:tc>
      </w:tr>
      <w:tr w:rsidR="009B34EE">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5-fold CV mean ± std</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Generalisation stability assessment</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SVM (best model)</w:t>
            </w:r>
          </w:p>
        </w:tc>
      </w:tr>
      <w:tr w:rsidR="009B34EE">
        <w:tc>
          <w:tcPr>
            <w:tcW w:w="30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Confusion matrix (29×29)</w:t>
            </w:r>
          </w:p>
        </w:tc>
        <w:tc>
          <w:tcPr>
            <w:tcW w:w="36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Class-level error pattern analysis</w:t>
            </w:r>
          </w:p>
        </w:tc>
        <w:tc>
          <w:tcPr>
            <w:tcW w:w="276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SVM (best model)</w:t>
            </w:r>
          </w:p>
        </w:tc>
      </w:tr>
      <w:tr w:rsidR="009B34EE">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Per-class F1 score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Per-sign classification quality</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SVM (best model)</w:t>
            </w:r>
          </w:p>
        </w:tc>
      </w:tr>
      <w:tr w:rsidR="009B34EE">
        <w:tc>
          <w:tcPr>
            <w:tcW w:w="30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PCA cumulative variance</w:t>
            </w:r>
          </w:p>
        </w:tc>
        <w:tc>
          <w:tcPr>
            <w:tcW w:w="36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Feature space dimensionality analysis</w:t>
            </w:r>
          </w:p>
        </w:tc>
        <w:tc>
          <w:tcPr>
            <w:tcW w:w="276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Training features</w:t>
            </w:r>
          </w:p>
        </w:tc>
      </w:tr>
      <w:tr w:rsidR="009B34EE">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SHAP mean |value|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Landmark feature importance ranking</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Random Forest</w:t>
            </w:r>
          </w:p>
        </w:tc>
      </w:tr>
    </w:tbl>
    <w:p w:rsidR="009B34EE" w:rsidRDefault="00E73DF2">
      <w:pPr>
        <w:spacing w:before="60" w:after="180"/>
        <w:jc w:val="center"/>
      </w:pPr>
      <w:r>
        <w:rPr>
          <w:i/>
          <w:iCs/>
          <w:color w:val="555555"/>
          <w:sz w:val="18"/>
          <w:szCs w:val="18"/>
        </w:rPr>
        <w:t>Table 3 — Evaluation protocol: six assessment dimensions with scope.</w:t>
      </w:r>
    </w:p>
    <w:p w:rsidR="009B34EE" w:rsidRDefault="00E73DF2">
      <w:pPr>
        <w:pStyle w:val="Heading2"/>
      </w:pPr>
      <w:r>
        <w:t>5.2  Model Accuracy Comparison</w:t>
      </w:r>
    </w:p>
    <w:p w:rsidR="009B34EE" w:rsidRDefault="00832767">
      <w:pPr>
        <w:spacing w:before="60" w:after="60"/>
        <w:jc w:val="both"/>
      </w:pPr>
      <w:r w:rsidRPr="00832767">
        <w:t>Test-set accuracy for all three classifiers can be seen in Table 4 and Figure 2. The support vector machine (SVM) classifier, with the radial basis function kernel (gamma=scale, C=100), has a test accuracy of 99.50%, with a mean of 99.46% and a standard deviation of 0.32% based on five-fold cross-validation. Both the k-nearest neighbour (KNN) (k=3, euclidean distance, distance weighted) and random forest (300 trees) classifiers have test accuracy rates of 98.91%. This difference of 0.59 percentage points is statistically significant given the test sample size of 1,006</w:t>
      </w:r>
      <w:r w:rsidR="00E73DF2">
        <w:t>.</w:t>
      </w:r>
    </w:p>
    <w:p w:rsidR="009B34EE" w:rsidRDefault="00E73DF2">
      <w:pPr>
        <w:spacing w:before="120" w:after="60"/>
        <w:jc w:val="center"/>
      </w:pPr>
      <w:r>
        <w:rPr>
          <w:noProof/>
        </w:rPr>
        <w:drawing>
          <wp:inline distT="0" distB="0" distL="0" distR="0">
            <wp:extent cx="6477000" cy="2667000"/>
            <wp:effectExtent l="0" t="0" r="0" b="0"/>
            <wp:docPr id="985952704" name="Picture 985952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477000" cy="2667000"/>
                    </a:xfrm>
                    <a:prstGeom prst="rect">
                      <a:avLst/>
                    </a:prstGeom>
                  </pic:spPr>
                </pic:pic>
              </a:graphicData>
            </a:graphic>
          </wp:inline>
        </w:drawing>
      </w:r>
    </w:p>
    <w:p w:rsidR="009B34EE" w:rsidRDefault="00832767">
      <w:pPr>
        <w:spacing w:before="40" w:after="180"/>
        <w:jc w:val="center"/>
      </w:pPr>
      <w:r w:rsidRPr="00832767">
        <w:rPr>
          <w:i/>
          <w:iCs/>
          <w:color w:val="555555"/>
          <w:sz w:val="18"/>
          <w:szCs w:val="18"/>
        </w:rPr>
        <w:t>Figure 2 - Chart comparing model accuracy (Test Set, n = 1,006). SVM (orange bar, 99.50%) beats KNN and Random Forest (both 98.91%) in accuracy. X-axis is magnified at 98-100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1800"/>
        <w:gridCol w:w="1600"/>
        <w:gridCol w:w="1360"/>
      </w:tblGrid>
      <w:tr w:rsidR="009B34EE">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lastRenderedPageBreak/>
              <w:t>Model</w:t>
            </w:r>
          </w:p>
        </w:tc>
        <w:tc>
          <w:tcPr>
            <w:tcW w:w="180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t>Best CV Score</w:t>
            </w:r>
          </w:p>
        </w:tc>
        <w:tc>
          <w:tcPr>
            <w:tcW w:w="180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t>Test Accuracy</w:t>
            </w:r>
          </w:p>
        </w:tc>
        <w:tc>
          <w:tcPr>
            <w:tcW w:w="160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t>Rank</w:t>
            </w:r>
          </w:p>
        </w:tc>
        <w:tc>
          <w:tcPr>
            <w:tcW w:w="136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t>Notes</w:t>
            </w:r>
          </w:p>
        </w:tc>
      </w:tr>
      <w:tr w:rsidR="009B34EE">
        <w:tc>
          <w:tcPr>
            <w:tcW w:w="28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KNN (k=3, Euclidean, distance)</w:t>
            </w:r>
          </w:p>
        </w:tc>
        <w:tc>
          <w:tcPr>
            <w:tcW w:w="18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98.88%</w:t>
            </w:r>
          </w:p>
        </w:tc>
        <w:tc>
          <w:tcPr>
            <w:tcW w:w="18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98.91%</w:t>
            </w:r>
          </w:p>
        </w:tc>
        <w:tc>
          <w:tcPr>
            <w:tcW w:w="16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#2 (tie)</w:t>
            </w:r>
          </w:p>
        </w:tc>
        <w:tc>
          <w:tcPr>
            <w:tcW w:w="136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Fast training; slow inference O(n·d)</w:t>
            </w:r>
          </w:p>
        </w:tc>
      </w:tr>
      <w:tr w:rsidR="009B34EE">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Random Forest (300 trees)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98.91%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#2 (tie)</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No tuning; SHAP-compatible</w:t>
            </w:r>
          </w:p>
        </w:tc>
      </w:tr>
      <w:tr w:rsidR="009B34EE">
        <w:tc>
          <w:tcPr>
            <w:tcW w:w="28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SVM (RBF, C=100, γ=scale)</w:t>
            </w:r>
          </w:p>
        </w:tc>
        <w:tc>
          <w:tcPr>
            <w:tcW w:w="18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99.46%</w:t>
            </w:r>
          </w:p>
        </w:tc>
        <w:tc>
          <w:tcPr>
            <w:tcW w:w="18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99.50%</w:t>
            </w:r>
          </w:p>
        </w:tc>
        <w:tc>
          <w:tcPr>
            <w:tcW w:w="16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#1 BEST</w:t>
            </w:r>
          </w:p>
        </w:tc>
        <w:tc>
          <w:tcPr>
            <w:tcW w:w="136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406 binary OvO classifiers</w:t>
            </w:r>
          </w:p>
        </w:tc>
      </w:tr>
    </w:tbl>
    <w:p w:rsidR="009B34EE" w:rsidRDefault="00E73DF2">
      <w:pPr>
        <w:spacing w:before="60" w:after="180"/>
        <w:jc w:val="center"/>
      </w:pPr>
      <w:r>
        <w:rPr>
          <w:i/>
          <w:iCs/>
          <w:color w:val="555555"/>
          <w:sz w:val="18"/>
          <w:szCs w:val="18"/>
        </w:rPr>
        <w:t>Table 4 — Test-set accuracy and cross-validation scores for all three models.</w:t>
      </w:r>
    </w:p>
    <w:p w:rsidR="009B34EE" w:rsidRDefault="00E73DF2">
      <w:pPr>
        <w:pStyle w:val="Heading2"/>
      </w:pPr>
      <w:r>
        <w:t>5.3  Cross-Validation Stability Analysis</w:t>
      </w:r>
    </w:p>
    <w:p w:rsidR="00832767" w:rsidRDefault="00832767" w:rsidP="00832767">
      <w:pPr>
        <w:spacing w:before="120" w:after="60"/>
        <w:jc w:val="both"/>
      </w:pPr>
      <w:r w:rsidRPr="00832767">
        <w:t>The stability of cross-validation, in my view, is a more informative metric than test set accuracy achieved via single split, since it indicates the variability in model performance for various data splits used in training and testing. The model that demonstrates a large mean value along with a large standard deviation is unstable, since its accuracy varies considerably depending on the specific sample used for training and testing. Figure 3 depicts the box plot and scores for each fold in 5-fold stratified cross-validation of the tuned SVM model.</w:t>
      </w:r>
    </w:p>
    <w:p w:rsidR="009B34EE" w:rsidRDefault="00E73DF2">
      <w:pPr>
        <w:spacing w:before="120" w:after="60"/>
        <w:jc w:val="center"/>
      </w:pPr>
      <w:r>
        <w:rPr>
          <w:noProof/>
        </w:rPr>
        <w:drawing>
          <wp:inline distT="0" distB="0" distL="0" distR="0">
            <wp:extent cx="5048250" cy="3048000"/>
            <wp:effectExtent l="0" t="0" r="0" b="0"/>
            <wp:docPr id="259439378" name="Picture 259439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048250" cy="3048000"/>
                    </a:xfrm>
                    <a:prstGeom prst="rect">
                      <a:avLst/>
                    </a:prstGeom>
                  </pic:spPr>
                </pic:pic>
              </a:graphicData>
            </a:graphic>
          </wp:inline>
        </w:drawing>
      </w:r>
    </w:p>
    <w:p w:rsidR="00832767" w:rsidRDefault="00832767" w:rsidP="00832767">
      <w:pPr>
        <w:spacing w:before="60" w:after="60"/>
        <w:jc w:val="center"/>
        <w:rPr>
          <w:i/>
          <w:iCs/>
          <w:color w:val="555555"/>
          <w:sz w:val="18"/>
          <w:szCs w:val="18"/>
        </w:rPr>
      </w:pPr>
      <w:r w:rsidRPr="00832767">
        <w:rPr>
          <w:i/>
          <w:iCs/>
          <w:color w:val="555555"/>
          <w:sz w:val="18"/>
          <w:szCs w:val="18"/>
        </w:rPr>
        <w:t>Figure 3 — Stability box plot of the 5-fold cross-validation for the SVM (RBF, C=100). Scores of individual folds (dots in coral) are between 99.00% and 99.89%. Small standard deviation (0.0032) and narrow interquartile range indicate that the model is consistently highly performing.</w:t>
      </w:r>
    </w:p>
    <w:p w:rsidR="00832767" w:rsidRDefault="00832767" w:rsidP="00832767">
      <w:pPr>
        <w:pStyle w:val="Heading2"/>
        <w:jc w:val="both"/>
        <w:rPr>
          <w:b w:val="0"/>
          <w:bCs w:val="0"/>
          <w:color w:val="1A1A2E"/>
          <w:sz w:val="21"/>
          <w:szCs w:val="21"/>
        </w:rPr>
      </w:pPr>
      <w:r w:rsidRPr="00832767">
        <w:rPr>
          <w:b w:val="0"/>
          <w:bCs w:val="0"/>
          <w:color w:val="1A1A2E"/>
          <w:sz w:val="21"/>
          <w:szCs w:val="21"/>
        </w:rPr>
        <w:t>The five folds' accuracies are 99.22%, 99.55%, 99.67%, 99.00%, and 99.89%. The average of these values is 99.46%, with a standard deviation of 0.32 percentage points. The small standard deviation, with the maximum difference between folds being just 0.89 percentage points, illustrates that this model is indeed very robust and high-performing, which means that its accuracy on the test set (99.50%) was achieved not because of the good luck of the random selection of data.</w:t>
      </w:r>
    </w:p>
    <w:p w:rsidR="00832767" w:rsidRDefault="00832767" w:rsidP="00832767">
      <w:pPr>
        <w:pStyle w:val="Heading2"/>
        <w:jc w:val="both"/>
        <w:rPr>
          <w:b w:val="0"/>
          <w:bCs w:val="0"/>
          <w:color w:val="1A1A2E"/>
          <w:sz w:val="21"/>
          <w:szCs w:val="21"/>
        </w:rPr>
      </w:pPr>
    </w:p>
    <w:p w:rsidR="009B34EE" w:rsidRDefault="00E73DF2">
      <w:pPr>
        <w:pStyle w:val="Heading2"/>
      </w:pPr>
      <w:r>
        <w:lastRenderedPageBreak/>
        <w:t>5.4  Per-Class F1 Score Analysis</w:t>
      </w:r>
    </w:p>
    <w:p w:rsidR="00832767" w:rsidRDefault="00832767">
      <w:pPr>
        <w:spacing w:before="60" w:after="60"/>
        <w:jc w:val="both"/>
      </w:pPr>
      <w:r w:rsidRPr="00832767">
        <w:t>Aggregate measures of performance may conceal underlying flaws; even a classifier that reaches an aggregate level of 99.50% is capable of making catastrophic mistakes with certain classes. The F1 score (the harmonic mean of precision and recall) per class for all 29 ASL signs is shown in Figure 12.</w:t>
      </w:r>
    </w:p>
    <w:p w:rsidR="00832767" w:rsidRDefault="00832767">
      <w:pPr>
        <w:spacing w:before="60" w:after="60"/>
        <w:jc w:val="both"/>
      </w:pPr>
    </w:p>
    <w:p w:rsidR="009B34EE" w:rsidRDefault="00E73DF2">
      <w:pPr>
        <w:spacing w:before="120" w:after="60"/>
        <w:jc w:val="center"/>
      </w:pPr>
      <w:r>
        <w:rPr>
          <w:noProof/>
        </w:rPr>
        <w:drawing>
          <wp:inline distT="0" distB="0" distL="0" distR="0">
            <wp:extent cx="6667500" cy="2762250"/>
            <wp:effectExtent l="0" t="0" r="0" b="0"/>
            <wp:docPr id="1799848978" name="Picture 1799848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667500" cy="2762250"/>
                    </a:xfrm>
                    <a:prstGeom prst="rect">
                      <a:avLst/>
                    </a:prstGeom>
                  </pic:spPr>
                </pic:pic>
              </a:graphicData>
            </a:graphic>
          </wp:inline>
        </w:drawing>
      </w:r>
    </w:p>
    <w:p w:rsidR="00832767" w:rsidRDefault="00832767" w:rsidP="00832767">
      <w:pPr>
        <w:spacing w:before="60" w:after="60"/>
        <w:jc w:val="center"/>
        <w:rPr>
          <w:i/>
          <w:iCs/>
          <w:color w:val="555555"/>
          <w:sz w:val="18"/>
          <w:szCs w:val="18"/>
        </w:rPr>
      </w:pPr>
      <w:r w:rsidRPr="00832767">
        <w:rPr>
          <w:i/>
          <w:iCs/>
          <w:color w:val="555555"/>
          <w:sz w:val="18"/>
          <w:szCs w:val="18"/>
        </w:rPr>
        <w:t>Figure 12 – F1-score per class for all 29 classes of ASL signs (SVM best performing model, test set). Green bars show F1 ≥ 0.99 (excellent), blue bars represent 0.975 ≤ F1 ≤ 0.99 (good), and orange bars show F1 &lt; 0.975 (moderate). Most classes have F1 scores close to perfect, while a few classes with</w:t>
      </w:r>
    </w:p>
    <w:p w:rsidR="009B34EE" w:rsidRDefault="00832767">
      <w:pPr>
        <w:spacing w:before="60" w:after="60"/>
        <w:jc w:val="both"/>
      </w:pPr>
      <w:r w:rsidRPr="00832767">
        <w:t>From the analysis, we observe that most of the classes have an F1 ≥ 0.975. The three special characters (del, space, nothing) have perfect F1 = 1.000 since these classes are distinguished by unique poses. Of the letter classes, B and D have an F1 score of 1.000. The classes found difficult to classify are the pairs of visually similar letters such as M and N (difference is only on the number of folded fingers on the thumb) and R and U (difference is only on crossing two fingers). These results coincide with the difficulty faced by human observers in distinguishing the same sign pairs.</w:t>
      </w:r>
    </w:p>
    <w:p w:rsidR="00832767" w:rsidRDefault="00832767">
      <w:pPr>
        <w:spacing w:before="60" w:after="6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500"/>
        <w:gridCol w:w="1300"/>
        <w:gridCol w:w="1500"/>
        <w:gridCol w:w="3660"/>
      </w:tblGrid>
      <w:tr w:rsidR="009B34EE">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t>ASL Sign</w:t>
            </w:r>
          </w:p>
        </w:tc>
        <w:tc>
          <w:tcPr>
            <w:tcW w:w="150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t>Precision</w:t>
            </w:r>
          </w:p>
        </w:tc>
        <w:tc>
          <w:tcPr>
            <w:tcW w:w="130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t>Recall</w:t>
            </w:r>
          </w:p>
        </w:tc>
        <w:tc>
          <w:tcPr>
            <w:tcW w:w="150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t>F1 Score</w:t>
            </w:r>
          </w:p>
        </w:tc>
        <w:tc>
          <w:tcPr>
            <w:tcW w:w="3660" w:type="dxa"/>
            <w:tcBorders>
              <w:top w:val="single" w:sz="1" w:space="0" w:color="CCCCCC"/>
              <w:left w:val="single" w:sz="1" w:space="0" w:color="CCCCCC"/>
              <w:bottom w:val="single" w:sz="1" w:space="0" w:color="CCCCCC"/>
              <w:right w:val="single" w:sz="1" w:space="0" w:color="CCCCCC"/>
            </w:tcBorders>
            <w:shd w:val="clear" w:color="auto" w:fill="2C3E7A"/>
            <w:tcMar>
              <w:top w:w="90" w:type="dxa"/>
              <w:left w:w="110" w:type="dxa"/>
              <w:bottom w:w="90" w:type="dxa"/>
              <w:right w:w="110" w:type="dxa"/>
            </w:tcMar>
          </w:tcPr>
          <w:p w:rsidR="009B34EE" w:rsidRDefault="00E73DF2">
            <w:pPr>
              <w:jc w:val="center"/>
            </w:pPr>
            <w:r>
              <w:rPr>
                <w:b/>
                <w:bCs/>
                <w:color w:val="FFFFFF"/>
                <w:sz w:val="19"/>
                <w:szCs w:val="19"/>
              </w:rPr>
              <w:t>Notes</w:t>
            </w:r>
          </w:p>
        </w:tc>
      </w:tr>
      <w:tr w:rsidR="009B34EE">
        <w:tc>
          <w:tcPr>
            <w:tcW w:w="14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A</w:t>
            </w:r>
          </w:p>
        </w:tc>
        <w:tc>
          <w:tcPr>
            <w:tcW w:w="15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0.97</w:t>
            </w:r>
          </w:p>
        </w:tc>
        <w:tc>
          <w:tcPr>
            <w:tcW w:w="13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1.00</w:t>
            </w:r>
          </w:p>
        </w:tc>
        <w:tc>
          <w:tcPr>
            <w:tcW w:w="15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0.985</w:t>
            </w:r>
          </w:p>
        </w:tc>
        <w:tc>
          <w:tcPr>
            <w:tcW w:w="366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Closed fist — well separated</w:t>
            </w:r>
          </w:p>
        </w:tc>
      </w:tr>
      <w:tr w:rsidR="009B34EE">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B</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1.00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1.00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1.000</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Four fingers straight — easily detected</w:t>
            </w:r>
          </w:p>
        </w:tc>
      </w:tr>
      <w:tr w:rsidR="009B34EE">
        <w:tc>
          <w:tcPr>
            <w:tcW w:w="14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D</w:t>
            </w:r>
          </w:p>
        </w:tc>
        <w:tc>
          <w:tcPr>
            <w:tcW w:w="15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1.00</w:t>
            </w:r>
          </w:p>
        </w:tc>
        <w:tc>
          <w:tcPr>
            <w:tcW w:w="13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1.00</w:t>
            </w:r>
          </w:p>
        </w:tc>
        <w:tc>
          <w:tcPr>
            <w:tcW w:w="15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1.000</w:t>
            </w:r>
          </w:p>
        </w:tc>
        <w:tc>
          <w:tcPr>
            <w:tcW w:w="366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Index circle — distinctive shape</w:t>
            </w:r>
          </w:p>
        </w:tc>
      </w:tr>
      <w:tr w:rsidR="009B34EE">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0.97</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0.97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0.970</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Curled fingers — similar to A/S</w:t>
            </w:r>
          </w:p>
        </w:tc>
      </w:tr>
      <w:tr w:rsidR="009B34EE">
        <w:tc>
          <w:tcPr>
            <w:tcW w:w="14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M</w:t>
            </w:r>
          </w:p>
        </w:tc>
        <w:tc>
          <w:tcPr>
            <w:tcW w:w="15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0.97</w:t>
            </w:r>
          </w:p>
        </w:tc>
        <w:tc>
          <w:tcPr>
            <w:tcW w:w="13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0.97</w:t>
            </w:r>
          </w:p>
        </w:tc>
        <w:tc>
          <w:tcPr>
            <w:tcW w:w="15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0.970</w:t>
            </w:r>
          </w:p>
        </w:tc>
        <w:tc>
          <w:tcPr>
            <w:tcW w:w="366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Three-finger fold — similar to N</w:t>
            </w:r>
          </w:p>
        </w:tc>
      </w:tr>
      <w:tr w:rsidR="009B34EE">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0.97</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0.97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0.970</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75" w:type="dxa"/>
              <w:left w:w="110" w:type="dxa"/>
              <w:bottom w:w="75" w:type="dxa"/>
              <w:right w:w="110" w:type="dxa"/>
            </w:tcMar>
          </w:tcPr>
          <w:p w:rsidR="009B34EE" w:rsidRDefault="00E73DF2">
            <w:r>
              <w:rPr>
                <w:sz w:val="19"/>
                <w:szCs w:val="19"/>
              </w:rPr>
              <w:t>Two-finger fold — similar to M</w:t>
            </w:r>
          </w:p>
        </w:tc>
      </w:tr>
      <w:tr w:rsidR="009B34EE">
        <w:tc>
          <w:tcPr>
            <w:tcW w:w="14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del / space / nothing</w:t>
            </w:r>
          </w:p>
        </w:tc>
        <w:tc>
          <w:tcPr>
            <w:tcW w:w="15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1.00</w:t>
            </w:r>
          </w:p>
        </w:tc>
        <w:tc>
          <w:tcPr>
            <w:tcW w:w="13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1.00</w:t>
            </w:r>
          </w:p>
        </w:tc>
        <w:tc>
          <w:tcPr>
            <w:tcW w:w="150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1.000</w:t>
            </w:r>
          </w:p>
        </w:tc>
        <w:tc>
          <w:tcPr>
            <w:tcW w:w="3660" w:type="dxa"/>
            <w:tcBorders>
              <w:top w:val="single" w:sz="1" w:space="0" w:color="CCCCCC"/>
              <w:left w:val="single" w:sz="1" w:space="0" w:color="CCCCCC"/>
              <w:bottom w:val="single" w:sz="1" w:space="0" w:color="CCCCCC"/>
              <w:right w:val="single" w:sz="1" w:space="0" w:color="CCCCCC"/>
            </w:tcBorders>
            <w:shd w:val="clear" w:color="auto" w:fill="EEF2FF"/>
            <w:tcMar>
              <w:top w:w="75" w:type="dxa"/>
              <w:left w:w="110" w:type="dxa"/>
              <w:bottom w:w="75" w:type="dxa"/>
              <w:right w:w="110" w:type="dxa"/>
            </w:tcMar>
          </w:tcPr>
          <w:p w:rsidR="009B34EE" w:rsidRDefault="00E73DF2">
            <w:r>
              <w:rPr>
                <w:sz w:val="19"/>
                <w:szCs w:val="19"/>
              </w:rPr>
              <w:t>Functionally distinct poses</w:t>
            </w:r>
          </w:p>
        </w:tc>
      </w:tr>
    </w:tbl>
    <w:p w:rsidR="009B34EE" w:rsidRDefault="00E73DF2">
      <w:pPr>
        <w:spacing w:before="60" w:after="180"/>
        <w:jc w:val="center"/>
        <w:rPr>
          <w:i/>
          <w:iCs/>
          <w:color w:val="555555"/>
          <w:sz w:val="18"/>
          <w:szCs w:val="18"/>
        </w:rPr>
      </w:pPr>
      <w:r>
        <w:rPr>
          <w:i/>
          <w:iCs/>
          <w:color w:val="555555"/>
          <w:sz w:val="18"/>
          <w:szCs w:val="18"/>
        </w:rPr>
        <w:t>Table 5 — Selected per-class precision, recall, and F1 scores illustrating model strengths and the hardest sign pairs.</w:t>
      </w:r>
    </w:p>
    <w:p w:rsidR="00832767" w:rsidRDefault="00832767">
      <w:pPr>
        <w:spacing w:before="60" w:after="180"/>
        <w:jc w:val="center"/>
        <w:rPr>
          <w:i/>
          <w:iCs/>
          <w:color w:val="555555"/>
          <w:sz w:val="18"/>
          <w:szCs w:val="18"/>
        </w:rPr>
      </w:pPr>
    </w:p>
    <w:p w:rsidR="00832767" w:rsidRDefault="00832767">
      <w:pPr>
        <w:spacing w:before="60" w:after="180"/>
        <w:jc w:val="center"/>
        <w:rPr>
          <w:i/>
          <w:iCs/>
          <w:color w:val="555555"/>
          <w:sz w:val="18"/>
          <w:szCs w:val="18"/>
        </w:rPr>
      </w:pPr>
    </w:p>
    <w:p w:rsidR="00205ACE" w:rsidRDefault="00205ACE">
      <w:pPr>
        <w:spacing w:before="60" w:after="180"/>
        <w:jc w:val="center"/>
      </w:pPr>
    </w:p>
    <w:p w:rsidR="009B34EE" w:rsidRDefault="00E73DF2">
      <w:pPr>
        <w:pStyle w:val="Heading2"/>
      </w:pPr>
      <w:r>
        <w:lastRenderedPageBreak/>
        <w:t>5.5  PCA Feature Space Analysis</w:t>
      </w:r>
    </w:p>
    <w:p w:rsidR="00832767" w:rsidRDefault="00832767" w:rsidP="00832767">
      <w:pPr>
        <w:spacing w:before="120" w:after="60"/>
        <w:jc w:val="both"/>
      </w:pPr>
      <w:r w:rsidRPr="00832767">
        <w:t>PCA is performed on the training feature matrix of dimensionality 63 (4,024 samples pre-SMOTE) to describe the underlying geometric structure of the MediaPipe landmarks. The geometry of the feature space is the reason for opting for kernel techniques (Support Vector Machine) rather than linear classifiers, as well as the reason for requiring few features to achieve good performance.</w:t>
      </w:r>
    </w:p>
    <w:p w:rsidR="009B34EE" w:rsidRDefault="00E73DF2">
      <w:pPr>
        <w:spacing w:before="120" w:after="60"/>
        <w:jc w:val="center"/>
      </w:pPr>
      <w:r>
        <w:rPr>
          <w:noProof/>
        </w:rPr>
        <w:drawing>
          <wp:inline distT="0" distB="0" distL="0" distR="0">
            <wp:extent cx="6572250" cy="3238500"/>
            <wp:effectExtent l="0" t="0" r="0" b="0"/>
            <wp:docPr id="918495092" name="Picture 918495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572250" cy="3238500"/>
                    </a:xfrm>
                    <a:prstGeom prst="rect">
                      <a:avLst/>
                    </a:prstGeom>
                  </pic:spPr>
                </pic:pic>
              </a:graphicData>
            </a:graphic>
          </wp:inline>
        </w:drawing>
      </w:r>
    </w:p>
    <w:p w:rsidR="00205ACE" w:rsidRDefault="00832767">
      <w:pPr>
        <w:spacing w:before="40" w:after="180"/>
        <w:jc w:val="center"/>
        <w:rPr>
          <w:i/>
          <w:iCs/>
          <w:color w:val="555555"/>
          <w:sz w:val="18"/>
          <w:szCs w:val="18"/>
        </w:rPr>
      </w:pPr>
      <w:r w:rsidRPr="00832767">
        <w:rPr>
          <w:i/>
          <w:iCs/>
          <w:color w:val="555555"/>
          <w:sz w:val="18"/>
          <w:szCs w:val="18"/>
        </w:rPr>
        <w:t>Figure 4 — Explained Variance vs Number of Principal Components. The 95% variance mark (dashed red line) is achieved with only 7 principal components (dashed green line), showing that the intrinsic dimensionality of the 63-dimensional hand pose space is quite low.</w:t>
      </w:r>
    </w:p>
    <w:p w:rsidR="00205ACE" w:rsidRDefault="00205ACE">
      <w:pPr>
        <w:spacing w:before="40" w:after="180"/>
        <w:jc w:val="center"/>
      </w:pPr>
      <w:r>
        <w:rPr>
          <w:i/>
          <w:iCs/>
          <w:color w:val="555555"/>
          <w:sz w:val="18"/>
          <w:szCs w:val="18"/>
        </w:rPr>
        <w:t xml:space="preserve"> </w:t>
      </w:r>
    </w:p>
    <w:p w:rsidR="009B34EE" w:rsidRDefault="00832767">
      <w:pPr>
        <w:spacing w:before="60" w:after="60"/>
        <w:jc w:val="both"/>
      </w:pPr>
      <w:r w:rsidRPr="00832767">
        <w:t>The first principal component alone accounts for 54.1% of total variance, while the first two components together explain 76.2% of the variance, indicating that the main pattern of the hand pose space is almost two dimensional. This observation is consistent with our anatomical understanding, where the first PC represents the general shape of finger extension vs. closure, while the second PC represents the finger spread laterally, as well as opposition between the fingers and the thumb. In addition to the above, the fact that 95% of the variance is explained in 7 dimensions (11% of the original feature dimensionality) is another confirmation that the 63 dimensional landmark space is redundant, as geometric constraints are imposed on the finger segments and angles.</w:t>
      </w:r>
    </w:p>
    <w:p w:rsidR="00832767" w:rsidRDefault="00832767">
      <w:pPr>
        <w:spacing w:before="60" w:after="60"/>
        <w:jc w:val="both"/>
      </w:pPr>
    </w:p>
    <w:p w:rsidR="009B34EE" w:rsidRDefault="00E73DF2">
      <w:pPr>
        <w:pStyle w:val="Heading2"/>
      </w:pPr>
      <w:r>
        <w:t>5.6  SHAP Feature Importance Analysis</w:t>
      </w:r>
    </w:p>
    <w:p w:rsidR="00832767" w:rsidRDefault="00832767" w:rsidP="00832767">
      <w:pPr>
        <w:spacing w:before="120" w:after="60"/>
        <w:jc w:val="both"/>
      </w:pPr>
      <w:r w:rsidRPr="00832767">
        <w:t>SHAP (SHapley Additive exPlanations) determines feature importance according to the mathematical approach of determining the average marginal effect of features in contributing to the prediction outputted by the model after considering all subsets of features (Lundberg &amp; Lee, 2017). TreeExplainer is an algorithm which is used to calculate exact Shapley values for tree-based models in polynomial time.</w:t>
      </w:r>
    </w:p>
    <w:p w:rsidR="009B34EE" w:rsidRDefault="00E73DF2" w:rsidP="00832767">
      <w:pPr>
        <w:spacing w:before="120" w:after="60"/>
        <w:jc w:val="both"/>
      </w:pPr>
      <w:r>
        <w:rPr>
          <w:noProof/>
        </w:rPr>
        <w:lastRenderedPageBreak/>
        <w:drawing>
          <wp:inline distT="0" distB="0" distL="0" distR="0">
            <wp:extent cx="6667500" cy="3714750"/>
            <wp:effectExtent l="0" t="0" r="0" b="0"/>
            <wp:docPr id="2050962218" name="Picture 2050962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667500" cy="3714750"/>
                    </a:xfrm>
                    <a:prstGeom prst="rect">
                      <a:avLst/>
                    </a:prstGeom>
                  </pic:spPr>
                </pic:pic>
              </a:graphicData>
            </a:graphic>
          </wp:inline>
        </w:drawing>
      </w:r>
    </w:p>
    <w:p w:rsidR="00832767" w:rsidRDefault="00832767" w:rsidP="00832767">
      <w:pPr>
        <w:spacing w:before="60" w:after="60"/>
        <w:jc w:val="center"/>
        <w:rPr>
          <w:i/>
          <w:iCs/>
          <w:color w:val="555555"/>
          <w:sz w:val="18"/>
          <w:szCs w:val="18"/>
        </w:rPr>
      </w:pPr>
      <w:r w:rsidRPr="00832767">
        <w:rPr>
          <w:i/>
          <w:iCs/>
          <w:color w:val="555555"/>
          <w:sz w:val="18"/>
          <w:szCs w:val="18"/>
        </w:rPr>
        <w:t>Figure 5 — Top 20 hand landmarks ranked according to their mean absolute SHAP score. The vertical position coordinates of fingertips dominate, while lm04_x (thumb tip horizontal coordinate) is the only one of top importance. The SHAP scores are calculated on the whole test set.</w:t>
      </w:r>
    </w:p>
    <w:p w:rsidR="00832767" w:rsidRDefault="00832767">
      <w:pPr>
        <w:spacing w:before="60" w:after="60"/>
        <w:jc w:val="both"/>
      </w:pPr>
      <w:r w:rsidRPr="00832767">
        <w:t>The findings of the SHAP analysis show an anatomy-based hierarchy for the importance of features. The most important feature is the x-coordinate of the thumb tip (lm04_x) with a mean absolute SHAP value of 0.00804. Top features include the following: lm04_x (thumb tip x), lm12_y (middle fingertip y), lm20_y (ring fingertip y), lm16_y (index fingertip y), lm15_y (index proximal joint y). The preponderance of y-coordinates (the vertical location) is consistent with the fact that in ASL fingerspelling, the main distinguishing factor is the vertical location of each finger raised or bent as captured through the front-facing camera.</w:t>
      </w:r>
    </w:p>
    <w:p w:rsidR="00205ACE" w:rsidRDefault="00832767" w:rsidP="00205ACE">
      <w:r w:rsidRPr="00832767">
        <w:t>Features derived from the wrist and the bottom part of the palm (Landmarks 0-4 proximal) are much fewer in number, thus verifying that the process of normalisation (focusing on the wrist joint) effectively eliminates the influence of hand position on the features of the hand, retaining only those which are meaningful for posture classification. The SHAP analysis presented here offers a degree of explainability of the model that is impossible to obtain using CNN models.</w:t>
      </w:r>
    </w:p>
    <w:p w:rsidR="00832767" w:rsidRDefault="00832767" w:rsidP="00205ACE"/>
    <w:p w:rsidR="009B34EE" w:rsidRDefault="00E73DF2" w:rsidP="00205ACE">
      <w:r>
        <w:rPr>
          <w:b/>
          <w:bCs/>
          <w:color w:val="2C3E7A"/>
          <w:sz w:val="34"/>
          <w:szCs w:val="34"/>
        </w:rPr>
        <w:t>6.  Conclusions</w:t>
      </w:r>
    </w:p>
    <w:p w:rsidR="009B34EE" w:rsidRDefault="00E73DF2">
      <w:pPr>
        <w:pStyle w:val="Heading2"/>
      </w:pPr>
      <w:r>
        <w:t>6.1  Summary of Goals, Methods, and Results</w:t>
      </w:r>
    </w:p>
    <w:p w:rsidR="00832767" w:rsidRDefault="00832767">
      <w:pPr>
        <w:spacing w:before="60" w:after="60"/>
        <w:jc w:val="both"/>
      </w:pPr>
      <w:r w:rsidRPr="00832767">
        <w:t>In this research, the main goal was to create an end-to-end machine learning pipeline for ASL static alphabet classification into 29 classes. This pipeline is created using the following components: Google MediaPipe HandLandmarker to extract geometric features, preprocessing steps (including label encoding, stratified splitting, StandardScaler, SMOTE), hyperparameter tuning using GridSearchCV on three classifiers and explanation by SHAP analysis.</w:t>
      </w:r>
    </w:p>
    <w:p w:rsidR="00832767" w:rsidRDefault="00832767">
      <w:pPr>
        <w:pStyle w:val="Heading2"/>
        <w:rPr>
          <w:b w:val="0"/>
          <w:bCs w:val="0"/>
          <w:color w:val="1A1A2E"/>
          <w:sz w:val="21"/>
          <w:szCs w:val="21"/>
        </w:rPr>
      </w:pPr>
      <w:r w:rsidRPr="00832767">
        <w:rPr>
          <w:b w:val="0"/>
          <w:bCs w:val="0"/>
          <w:color w:val="1A1A2E"/>
          <w:sz w:val="21"/>
          <w:szCs w:val="21"/>
        </w:rPr>
        <w:t xml:space="preserve">These are the main findings: SVM with RBF kernel (C=100, gamma=scale) has test accuracy equal to 99.50% and 5-fold cross-validation mean accuracy of 99.46% with 0.32% standard deviation, which makes this model the highest-performing one and the most stable classifier. KNN and Random Forest models have test accuracy of 98.91%. PCA analysis shows that 63-dimensional MediaPipe landmark </w:t>
      </w:r>
      <w:r w:rsidRPr="00832767">
        <w:rPr>
          <w:b w:val="0"/>
          <w:bCs w:val="0"/>
          <w:color w:val="1A1A2E"/>
          <w:sz w:val="21"/>
          <w:szCs w:val="21"/>
        </w:rPr>
        <w:lastRenderedPageBreak/>
        <w:t>space has intrinsic dimensionality of only 7 at 95% variance due to the geometric nature of hand anatomy. SHAP analysis shows that fingertip y-coordinates, namely vertical coordinates of fingertips of thumb, middle finger, ring finger, and index fingers, are the key predictors of the model.</w:t>
      </w:r>
    </w:p>
    <w:p w:rsidR="009B34EE" w:rsidRDefault="00E73DF2">
      <w:pPr>
        <w:pStyle w:val="Heading2"/>
      </w:pPr>
      <w:r>
        <w:t>6.2  Project Contributions</w:t>
      </w:r>
    </w:p>
    <w:p w:rsidR="00CB4A55" w:rsidRDefault="00CB4A55" w:rsidP="00CB4A55">
      <w:pPr>
        <w:pStyle w:val="ListParagraph"/>
        <w:numPr>
          <w:ilvl w:val="0"/>
          <w:numId w:val="9"/>
        </w:numPr>
        <w:spacing w:before="55" w:after="55"/>
        <w:jc w:val="both"/>
      </w:pPr>
      <w:r>
        <w:t>A complete, reproducible Python pipeline using landmark-based ASL classification, from downloading the Kaggle dataset programmatically to the serialised inference objects, runnable in Google Colab even without access to GPU hardware.</w:t>
      </w:r>
    </w:p>
    <w:p w:rsidR="00CB4A55" w:rsidRDefault="00CB4A55" w:rsidP="00CB4A55">
      <w:pPr>
        <w:pStyle w:val="ListParagraph"/>
        <w:numPr>
          <w:ilvl w:val="0"/>
          <w:numId w:val="9"/>
        </w:numPr>
        <w:spacing w:before="55" w:after="55"/>
        <w:jc w:val="both"/>
      </w:pPr>
      <w:r>
        <w:t>Comparison of three different classification algorithms (KNN, SVM, Random Forest), using MediaPipe landmarks, including systematic hyperparameter tuning using 5-fold GridSearchCV, showing that SVM outperforms the other two.</w:t>
      </w:r>
    </w:p>
    <w:p w:rsidR="00CB4A55" w:rsidRDefault="00CB4A55" w:rsidP="00CB4A55">
      <w:pPr>
        <w:pStyle w:val="ListParagraph"/>
        <w:numPr>
          <w:ilvl w:val="0"/>
          <w:numId w:val="9"/>
        </w:numPr>
        <w:spacing w:before="55" w:after="55"/>
        <w:jc w:val="both"/>
      </w:pPr>
      <w:r>
        <w:t>The first usage of SHAP TreeExplainer to classify MediaPipe landmark features for American Sign Language, yielding an anatomically motivated ranking of feature importance, contributing to advances in explainability for assistive computing.</w:t>
      </w:r>
    </w:p>
    <w:p w:rsidR="00CB4A55" w:rsidRDefault="00CB4A55" w:rsidP="00CB4A55">
      <w:pPr>
        <w:pStyle w:val="ListParagraph"/>
        <w:numPr>
          <w:ilvl w:val="0"/>
          <w:numId w:val="9"/>
        </w:numPr>
        <w:spacing w:before="55" w:after="55"/>
        <w:jc w:val="both"/>
      </w:pPr>
      <w:r w:rsidRPr="00CB4A55">
        <w:t>A function predict_sign() for making an inference able to do a classification of new hands' pictures faster than 15 milliseconds for each image using a CPU.</w:t>
      </w:r>
    </w:p>
    <w:p w:rsidR="00CB4A55" w:rsidRPr="00CB4A55" w:rsidRDefault="00CB4A55" w:rsidP="00CB4A55">
      <w:pPr>
        <w:pStyle w:val="ListParagraph"/>
        <w:numPr>
          <w:ilvl w:val="0"/>
          <w:numId w:val="9"/>
        </w:numPr>
        <w:spacing w:before="55" w:after="55"/>
        <w:jc w:val="both"/>
      </w:pPr>
      <w:r w:rsidRPr="00CB4A55">
        <w:t>The evaluation methodology that includes such criteria as accuracy, cross-validation stability, per-class F1 measure, confusion matrix analysis, PCA analysis of features space and SHAP explanation in one integrated approach.</w:t>
      </w:r>
    </w:p>
    <w:p w:rsidR="009B34EE" w:rsidRDefault="00E73DF2" w:rsidP="00CB4A55">
      <w:pPr>
        <w:pStyle w:val="Heading2"/>
      </w:pPr>
      <w:r>
        <w:t>6.3  Limitations</w:t>
      </w:r>
    </w:p>
    <w:p w:rsidR="00CB4A55" w:rsidRDefault="00CB4A55">
      <w:pPr>
        <w:pStyle w:val="Heading2"/>
        <w:rPr>
          <w:b w:val="0"/>
          <w:bCs w:val="0"/>
          <w:color w:val="1A1A2E"/>
          <w:sz w:val="21"/>
          <w:szCs w:val="21"/>
        </w:rPr>
      </w:pPr>
      <w:r w:rsidRPr="00CB4A55">
        <w:rPr>
          <w:b w:val="0"/>
          <w:bCs w:val="0"/>
          <w:color w:val="1A1A2E"/>
          <w:sz w:val="21"/>
          <w:szCs w:val="21"/>
        </w:rPr>
        <w:t>Various issues limited the ability to generalise the findings. Firstly, the dataset is created using a single signer under indoor lighting conditions, leaving the issue of cross-signer and cross-environment generalisation to be settled through independent testing procedures. Secondly, there is 13.3% detection failure on the part of MediaPipe that creates a selection bias in the creation and testing of the model due to the systematic exclusion of certain sign poses (extreme angle and severe occlusion). Finally, the project focused only on the recognition of static fingerspelling, while the conversational ASL vocabulary consists primarily of multi-frame signs.</w:t>
      </w:r>
    </w:p>
    <w:p w:rsidR="009B34EE" w:rsidRDefault="00E73DF2">
      <w:pPr>
        <w:pStyle w:val="Heading2"/>
      </w:pPr>
      <w:r>
        <w:t>6.4  Future Work</w:t>
      </w:r>
    </w:p>
    <w:p w:rsidR="00CB4A55" w:rsidRDefault="00CB4A55" w:rsidP="00CB4A55">
      <w:pPr>
        <w:spacing w:before="55" w:after="55"/>
        <w:jc w:val="both"/>
      </w:pPr>
      <w:r>
        <w:t>Five directions can be pinpointed as promising extensions of this work:</w:t>
      </w:r>
    </w:p>
    <w:p w:rsidR="00CB4A55" w:rsidRDefault="00CB4A55" w:rsidP="00CB4A55">
      <w:pPr>
        <w:pStyle w:val="ListParagraph"/>
        <w:numPr>
          <w:ilvl w:val="0"/>
          <w:numId w:val="11"/>
        </w:numPr>
        <w:spacing w:before="55" w:after="55"/>
        <w:jc w:val="both"/>
      </w:pPr>
      <w:r>
        <w:t>Real-time webcam input: connecting the predict_sign() routine with OpenCV video input (cv2.VideoCapture(0)), resulting in an interactive sign language recognition system with latency below 100 ms.</w:t>
      </w:r>
    </w:p>
    <w:p w:rsidR="009B34EE" w:rsidRDefault="00CB4A55" w:rsidP="00CB4A55">
      <w:pPr>
        <w:pStyle w:val="ListParagraph"/>
        <w:numPr>
          <w:ilvl w:val="0"/>
          <w:numId w:val="11"/>
        </w:numPr>
        <w:spacing w:before="55" w:after="55"/>
        <w:jc w:val="both"/>
      </w:pPr>
      <w:r>
        <w:t>LSTM for dynamic signs: using LSTM-based sign language recognizer which will process temporal sequences of landmarks vectors instead of images, allowing the recognition of complete words in American Sign Language.</w:t>
      </w:r>
      <w:r w:rsidR="00E73DF2">
        <w:t>Signer-independent evaluation: redesigning the train/test split to partition by signer identity (train on signers A–D, test on signer E), providing a reliable estimate of cross-signer generalisation.</w:t>
      </w:r>
    </w:p>
    <w:p w:rsidR="00CB4A55" w:rsidRDefault="00CB4A55" w:rsidP="00CB4A55">
      <w:pPr>
        <w:pStyle w:val="ListParagraph"/>
        <w:numPr>
          <w:ilvl w:val="0"/>
          <w:numId w:val="11"/>
        </w:numPr>
        <w:spacing w:before="55" w:after="55"/>
        <w:jc w:val="both"/>
      </w:pPr>
      <w:r>
        <w:t>Feature pruning by SHAP: selection of a minimum set of features (K landmarks) based on SHAP ranking, which ensures 99%+ classification performance while decreasing the feature vector dimension and speeding up inference.</w:t>
      </w:r>
    </w:p>
    <w:p w:rsidR="001F3D84" w:rsidRDefault="00CB4A55" w:rsidP="00CB4A55">
      <w:pPr>
        <w:pStyle w:val="ListParagraph"/>
        <w:numPr>
          <w:ilvl w:val="0"/>
          <w:numId w:val="11"/>
        </w:numPr>
        <w:spacing w:before="55" w:after="55"/>
        <w:jc w:val="both"/>
      </w:pPr>
      <w:r>
        <w:t>CNN Baseline: training a small MobileNetV2 network from scratch on raw RGB pixels (200×200) for an objective comparison with landmarks in terms of accuracy, inference time, memory footprint, and interpretability.</w:t>
      </w:r>
    </w:p>
    <w:p w:rsidR="00CB4A55" w:rsidRDefault="00CB4A55" w:rsidP="00CB4A55">
      <w:pPr>
        <w:spacing w:before="55" w:after="55"/>
        <w:jc w:val="both"/>
      </w:pPr>
    </w:p>
    <w:p w:rsidR="00CB4A55" w:rsidRDefault="00CB4A55" w:rsidP="00CB4A55">
      <w:pPr>
        <w:spacing w:before="55" w:after="55"/>
        <w:jc w:val="both"/>
      </w:pPr>
    </w:p>
    <w:p w:rsidR="00CB4A55" w:rsidRDefault="00CB4A55" w:rsidP="00CB4A55">
      <w:pPr>
        <w:spacing w:before="55" w:after="55"/>
        <w:jc w:val="both"/>
      </w:pPr>
    </w:p>
    <w:p w:rsidR="00CB4A55" w:rsidRDefault="00CB4A55" w:rsidP="00CB4A55">
      <w:pPr>
        <w:pStyle w:val="ListParagraph"/>
        <w:spacing w:before="55" w:after="55"/>
        <w:ind w:left="680"/>
        <w:jc w:val="both"/>
      </w:pPr>
    </w:p>
    <w:p w:rsidR="009B34EE" w:rsidRDefault="00E73DF2" w:rsidP="001F3D84">
      <w:r>
        <w:rPr>
          <w:b/>
          <w:bCs/>
          <w:color w:val="2C3E7A"/>
          <w:sz w:val="34"/>
          <w:szCs w:val="34"/>
        </w:rPr>
        <w:lastRenderedPageBreak/>
        <w:t>7.  Bibliography and References</w:t>
      </w:r>
    </w:p>
    <w:p w:rsidR="00CB4A55" w:rsidRDefault="00CB4A55" w:rsidP="00CB4A55">
      <w:pPr>
        <w:spacing w:before="100" w:after="60"/>
        <w:ind w:left="360" w:hanging="360"/>
        <w:jc w:val="both"/>
      </w:pPr>
      <w:r>
        <w:t>All sources provided below are directly cited within this report. The references follow the IEEE citation style format.</w:t>
      </w:r>
    </w:p>
    <w:p w:rsidR="00CB4A55" w:rsidRDefault="00CB4A55" w:rsidP="00CB4A55">
      <w:pPr>
        <w:spacing w:before="100" w:after="60"/>
        <w:ind w:left="360" w:hanging="360"/>
        <w:jc w:val="both"/>
      </w:pPr>
    </w:p>
    <w:p w:rsidR="00CB4A55" w:rsidRDefault="00CB4A55" w:rsidP="00CB4A55">
      <w:pPr>
        <w:spacing w:before="100" w:after="60"/>
        <w:ind w:left="360" w:hanging="360"/>
        <w:jc w:val="both"/>
      </w:pPr>
      <w:r>
        <w:t>[1] Lugaresi, C., Tang, J., Nash, H., McClanahan, C., Uboweja, E., Hays, M., Zhang, F., Chang, C.-L., Yong, M. G., Lee, J., Chang, W.-T., Hua, W., Georg, M., &amp; Grundmann, M. (2019). MediaPipe: A Framework for Building Perception Pipelines. arXiv preprint arXiv:1906.08172.</w:t>
      </w:r>
    </w:p>
    <w:p w:rsidR="00CB4A55" w:rsidRDefault="00CB4A55" w:rsidP="00CB4A55">
      <w:pPr>
        <w:spacing w:before="100" w:after="60"/>
        <w:ind w:left="360" w:hanging="360"/>
        <w:jc w:val="both"/>
        <w:rPr>
          <w:sz w:val="20"/>
          <w:szCs w:val="20"/>
        </w:rPr>
      </w:pPr>
      <w:r>
        <w:t>[2] Taskiran, M., Kahraman, N., &amp; Erdem, C. E. (2020). Real-time Hand Gesture Recognition Based on MediaPipe Hand Landmark Detection Combined with Picked Feature Neural Network Classifier. In Proceedings of the 28th IEEE Signal Processing and Communications Applications Conference (SIU 2020).</w:t>
      </w:r>
      <w:r>
        <w:rPr>
          <w:sz w:val="20"/>
          <w:szCs w:val="20"/>
        </w:rPr>
        <w:t xml:space="preserve"> </w:t>
      </w:r>
    </w:p>
    <w:p w:rsidR="00CB4A55" w:rsidRPr="00CB4A55" w:rsidRDefault="00CB4A55" w:rsidP="00CB4A55">
      <w:pPr>
        <w:spacing w:before="100" w:after="60"/>
        <w:ind w:left="360" w:hanging="360"/>
        <w:jc w:val="both"/>
        <w:rPr>
          <w:sz w:val="20"/>
          <w:szCs w:val="20"/>
        </w:rPr>
      </w:pPr>
      <w:r w:rsidRPr="00CB4A55">
        <w:rPr>
          <w:sz w:val="20"/>
          <w:szCs w:val="20"/>
        </w:rPr>
        <w:t>[3] Aly, S., &amp; Aly, W. (2020). DeepArSLR: A New Signer Independent Deep Learning Approach to Recognition of Isolated Arabic Sign Language Gestures. IEEE Access, 8, 83199–83212.</w:t>
      </w:r>
    </w:p>
    <w:p w:rsidR="00CB4A55" w:rsidRDefault="00CB4A55" w:rsidP="00CB4A55">
      <w:pPr>
        <w:spacing w:before="100" w:after="60"/>
        <w:ind w:left="360" w:hanging="360"/>
        <w:jc w:val="both"/>
        <w:rPr>
          <w:sz w:val="20"/>
          <w:szCs w:val="20"/>
        </w:rPr>
      </w:pPr>
      <w:r w:rsidRPr="00CB4A55">
        <w:rPr>
          <w:sz w:val="20"/>
          <w:szCs w:val="20"/>
        </w:rPr>
        <w:t>[4] Lundberg, S. M., &amp; Lee, S. I. (2017). A Unified Approach to Interpreting Model Predictions. Advances in Neural</w:t>
      </w:r>
      <w:r w:rsidRPr="00CB4A55">
        <w:rPr>
          <w:sz w:val="20"/>
          <w:szCs w:val="20"/>
        </w:rPr>
        <w:t xml:space="preserve"> </w:t>
      </w:r>
    </w:p>
    <w:p w:rsidR="00CB4A55" w:rsidRPr="00CB4A55" w:rsidRDefault="00CB4A55" w:rsidP="00CB4A55">
      <w:pPr>
        <w:spacing w:before="100" w:after="60"/>
        <w:ind w:left="360" w:hanging="360"/>
        <w:jc w:val="both"/>
        <w:rPr>
          <w:sz w:val="20"/>
          <w:szCs w:val="20"/>
        </w:rPr>
      </w:pPr>
      <w:r w:rsidRPr="00CB4A55">
        <w:rPr>
          <w:sz w:val="20"/>
          <w:szCs w:val="20"/>
        </w:rPr>
        <w:t>[5] Breiman, L. (2001). Random Forests. Machine Learning, 45(1), 5-32.</w:t>
      </w:r>
    </w:p>
    <w:p w:rsidR="00CB4A55" w:rsidRPr="00CB4A55" w:rsidRDefault="00CB4A55" w:rsidP="00CB4A55">
      <w:pPr>
        <w:spacing w:before="100" w:after="60"/>
        <w:ind w:left="360" w:hanging="360"/>
        <w:jc w:val="both"/>
        <w:rPr>
          <w:sz w:val="20"/>
          <w:szCs w:val="20"/>
        </w:rPr>
      </w:pPr>
      <w:r w:rsidRPr="00CB4A55">
        <w:rPr>
          <w:sz w:val="20"/>
          <w:szCs w:val="20"/>
        </w:rPr>
        <w:t>[6] Cortes, C. &amp; Vapnik, V. (1995). Support-vector networks. Machine Learning, 20(3), 273-297.</w:t>
      </w:r>
    </w:p>
    <w:p w:rsidR="00CB4A55" w:rsidRDefault="00CB4A55" w:rsidP="00CB4A55">
      <w:pPr>
        <w:spacing w:before="100" w:after="60"/>
        <w:ind w:left="360" w:hanging="360"/>
        <w:jc w:val="both"/>
      </w:pPr>
    </w:p>
    <w:p w:rsidR="009B34EE" w:rsidRDefault="009B34EE">
      <w:pPr>
        <w:spacing w:before="400"/>
      </w:pPr>
    </w:p>
    <w:p w:rsidR="009B34EE" w:rsidRDefault="00E73DF2">
      <w:pPr>
        <w:jc w:val="center"/>
      </w:pPr>
      <w:r>
        <w:rPr>
          <w:i/>
          <w:iCs/>
          <w:color w:val="999999"/>
          <w:sz w:val="22"/>
          <w:szCs w:val="22"/>
        </w:rPr>
        <w:t>— End of Report —</w:t>
      </w:r>
    </w:p>
    <w:sectPr w:rsidR="009B34EE">
      <w:headerReference w:type="default" r:id="rId19"/>
      <w:footerReference w:type="default" r:id="rId20"/>
      <w:pgSz w:w="12240" w:h="15840"/>
      <w:pgMar w:top="1200" w:right="120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1523B" w:rsidRDefault="0031523B">
      <w:r>
        <w:separator/>
      </w:r>
    </w:p>
  </w:endnote>
  <w:endnote w:type="continuationSeparator" w:id="0">
    <w:p w:rsidR="0031523B" w:rsidRDefault="003152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B34EE" w:rsidRDefault="00E73DF2">
    <w:pPr>
      <w:pBdr>
        <w:top w:val="single" w:sz="3" w:space="0" w:color="1D9E75"/>
      </w:pBdr>
      <w:spacing w:before="60"/>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1F3D84">
      <w:rPr>
        <w:noProof/>
        <w:color w:val="888888"/>
        <w:sz w:val="18"/>
        <w:szCs w:val="18"/>
      </w:rPr>
      <w:t>2</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1F3D84">
      <w:rPr>
        <w:noProof/>
        <w:color w:val="888888"/>
        <w:sz w:val="18"/>
        <w:szCs w:val="18"/>
      </w:rPr>
      <w:t>3</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1523B" w:rsidRDefault="0031523B">
      <w:r>
        <w:separator/>
      </w:r>
    </w:p>
  </w:footnote>
  <w:footnote w:type="continuationSeparator" w:id="0">
    <w:p w:rsidR="0031523B" w:rsidRDefault="003152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B34EE" w:rsidRDefault="00E73DF2">
    <w:pPr>
      <w:pBdr>
        <w:bottom w:val="single" w:sz="3" w:space="0" w:color="1D9E75"/>
      </w:pBdr>
      <w:spacing w:after="60"/>
    </w:pPr>
    <w:r>
      <w:rPr>
        <w:color w:val="888888"/>
        <w:sz w:val="18"/>
        <w:szCs w:val="18"/>
      </w:rPr>
      <w:t>ASL Sign Language Classification  ·  Technical Report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94D6B"/>
    <w:multiLevelType w:val="hybridMultilevel"/>
    <w:tmpl w:val="7DAEF8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FF65F4"/>
    <w:multiLevelType w:val="hybridMultilevel"/>
    <w:tmpl w:val="00A8AA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11012A"/>
    <w:multiLevelType w:val="hybridMultilevel"/>
    <w:tmpl w:val="C374EE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4894315"/>
    <w:multiLevelType w:val="hybridMultilevel"/>
    <w:tmpl w:val="A91E694E"/>
    <w:lvl w:ilvl="0" w:tplc="8862ABE4">
      <w:start w:val="1"/>
      <w:numFmt w:val="bullet"/>
      <w:lvlText w:val="•"/>
      <w:lvlJc w:val="left"/>
      <w:pPr>
        <w:ind w:left="680" w:hanging="340"/>
      </w:pPr>
    </w:lvl>
    <w:lvl w:ilvl="1" w:tplc="D1CC0582">
      <w:numFmt w:val="decimal"/>
      <w:lvlText w:val=""/>
      <w:lvlJc w:val="left"/>
    </w:lvl>
    <w:lvl w:ilvl="2" w:tplc="8A1E3968">
      <w:numFmt w:val="decimal"/>
      <w:lvlText w:val=""/>
      <w:lvlJc w:val="left"/>
    </w:lvl>
    <w:lvl w:ilvl="3" w:tplc="9A564DF0">
      <w:numFmt w:val="decimal"/>
      <w:lvlText w:val=""/>
      <w:lvlJc w:val="left"/>
    </w:lvl>
    <w:lvl w:ilvl="4" w:tplc="6EF06412">
      <w:numFmt w:val="decimal"/>
      <w:lvlText w:val=""/>
      <w:lvlJc w:val="left"/>
    </w:lvl>
    <w:lvl w:ilvl="5" w:tplc="895C0C2A">
      <w:numFmt w:val="decimal"/>
      <w:lvlText w:val=""/>
      <w:lvlJc w:val="left"/>
    </w:lvl>
    <w:lvl w:ilvl="6" w:tplc="F8601AB2">
      <w:numFmt w:val="decimal"/>
      <w:lvlText w:val=""/>
      <w:lvlJc w:val="left"/>
    </w:lvl>
    <w:lvl w:ilvl="7" w:tplc="5DCE16CC">
      <w:numFmt w:val="decimal"/>
      <w:lvlText w:val=""/>
      <w:lvlJc w:val="left"/>
    </w:lvl>
    <w:lvl w:ilvl="8" w:tplc="E19A9342">
      <w:numFmt w:val="decimal"/>
      <w:lvlText w:val=""/>
      <w:lvlJc w:val="left"/>
    </w:lvl>
  </w:abstractNum>
  <w:abstractNum w:abstractNumId="4" w15:restartNumberingAfterBreak="0">
    <w:nsid w:val="32A92EE5"/>
    <w:multiLevelType w:val="hybridMultilevel"/>
    <w:tmpl w:val="670CC6D8"/>
    <w:lvl w:ilvl="0" w:tplc="8862ABE4">
      <w:start w:val="1"/>
      <w:numFmt w:val="bullet"/>
      <w:lvlText w:val="•"/>
      <w:lvlJc w:val="left"/>
      <w:pPr>
        <w:ind w:left="1040" w:hanging="340"/>
      </w:p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2CC7831"/>
    <w:multiLevelType w:val="hybridMultilevel"/>
    <w:tmpl w:val="A8D69F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C4A722B"/>
    <w:multiLevelType w:val="hybridMultilevel"/>
    <w:tmpl w:val="409606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AA10ECB"/>
    <w:multiLevelType w:val="hybridMultilevel"/>
    <w:tmpl w:val="45042070"/>
    <w:lvl w:ilvl="0" w:tplc="D9E6F176">
      <w:start w:val="1"/>
      <w:numFmt w:val="decimal"/>
      <w:lvlText w:val="%1."/>
      <w:lvlJc w:val="left"/>
      <w:pPr>
        <w:ind w:left="680" w:hanging="340"/>
      </w:pPr>
    </w:lvl>
    <w:lvl w:ilvl="1" w:tplc="BDE22F64">
      <w:numFmt w:val="decimal"/>
      <w:lvlText w:val=""/>
      <w:lvlJc w:val="left"/>
    </w:lvl>
    <w:lvl w:ilvl="2" w:tplc="95D201C8">
      <w:numFmt w:val="decimal"/>
      <w:lvlText w:val=""/>
      <w:lvlJc w:val="left"/>
    </w:lvl>
    <w:lvl w:ilvl="3" w:tplc="BABC71EC">
      <w:numFmt w:val="decimal"/>
      <w:lvlText w:val=""/>
      <w:lvlJc w:val="left"/>
    </w:lvl>
    <w:lvl w:ilvl="4" w:tplc="DAB277AC">
      <w:numFmt w:val="decimal"/>
      <w:lvlText w:val=""/>
      <w:lvlJc w:val="left"/>
    </w:lvl>
    <w:lvl w:ilvl="5" w:tplc="6AB896A6">
      <w:numFmt w:val="decimal"/>
      <w:lvlText w:val=""/>
      <w:lvlJc w:val="left"/>
    </w:lvl>
    <w:lvl w:ilvl="6" w:tplc="E2B0163E">
      <w:numFmt w:val="decimal"/>
      <w:lvlText w:val=""/>
      <w:lvlJc w:val="left"/>
    </w:lvl>
    <w:lvl w:ilvl="7" w:tplc="98C2B4AE">
      <w:numFmt w:val="decimal"/>
      <w:lvlText w:val=""/>
      <w:lvlJc w:val="left"/>
    </w:lvl>
    <w:lvl w:ilvl="8" w:tplc="0C2A1266">
      <w:numFmt w:val="decimal"/>
      <w:lvlText w:val=""/>
      <w:lvlJc w:val="left"/>
    </w:lvl>
  </w:abstractNum>
  <w:abstractNum w:abstractNumId="8" w15:restartNumberingAfterBreak="0">
    <w:nsid w:val="64A30D9E"/>
    <w:multiLevelType w:val="hybridMultilevel"/>
    <w:tmpl w:val="70A6E836"/>
    <w:lvl w:ilvl="0" w:tplc="085616A6">
      <w:start w:val="1"/>
      <w:numFmt w:val="bullet"/>
      <w:lvlText w:val="●"/>
      <w:lvlJc w:val="left"/>
      <w:pPr>
        <w:ind w:left="720" w:hanging="360"/>
      </w:pPr>
    </w:lvl>
    <w:lvl w:ilvl="1" w:tplc="5248FE8C">
      <w:start w:val="1"/>
      <w:numFmt w:val="bullet"/>
      <w:lvlText w:val="○"/>
      <w:lvlJc w:val="left"/>
      <w:pPr>
        <w:ind w:left="1440" w:hanging="360"/>
      </w:pPr>
    </w:lvl>
    <w:lvl w:ilvl="2" w:tplc="E48EA310">
      <w:start w:val="1"/>
      <w:numFmt w:val="bullet"/>
      <w:lvlText w:val="■"/>
      <w:lvlJc w:val="left"/>
      <w:pPr>
        <w:ind w:left="2160" w:hanging="360"/>
      </w:pPr>
    </w:lvl>
    <w:lvl w:ilvl="3" w:tplc="2AC05E12">
      <w:start w:val="1"/>
      <w:numFmt w:val="bullet"/>
      <w:lvlText w:val="●"/>
      <w:lvlJc w:val="left"/>
      <w:pPr>
        <w:ind w:left="2880" w:hanging="360"/>
      </w:pPr>
    </w:lvl>
    <w:lvl w:ilvl="4" w:tplc="49EA2450">
      <w:start w:val="1"/>
      <w:numFmt w:val="bullet"/>
      <w:lvlText w:val="○"/>
      <w:lvlJc w:val="left"/>
      <w:pPr>
        <w:ind w:left="3600" w:hanging="360"/>
      </w:pPr>
    </w:lvl>
    <w:lvl w:ilvl="5" w:tplc="6DB072DC">
      <w:start w:val="1"/>
      <w:numFmt w:val="bullet"/>
      <w:lvlText w:val="■"/>
      <w:lvlJc w:val="left"/>
      <w:pPr>
        <w:ind w:left="4320" w:hanging="360"/>
      </w:pPr>
    </w:lvl>
    <w:lvl w:ilvl="6" w:tplc="E13AEF04">
      <w:start w:val="1"/>
      <w:numFmt w:val="bullet"/>
      <w:lvlText w:val="●"/>
      <w:lvlJc w:val="left"/>
      <w:pPr>
        <w:ind w:left="5040" w:hanging="360"/>
      </w:pPr>
    </w:lvl>
    <w:lvl w:ilvl="7" w:tplc="30B612F2">
      <w:start w:val="1"/>
      <w:numFmt w:val="bullet"/>
      <w:lvlText w:val="●"/>
      <w:lvlJc w:val="left"/>
      <w:pPr>
        <w:ind w:left="5760" w:hanging="360"/>
      </w:pPr>
    </w:lvl>
    <w:lvl w:ilvl="8" w:tplc="3FF270A4">
      <w:start w:val="1"/>
      <w:numFmt w:val="bullet"/>
      <w:lvlText w:val="●"/>
      <w:lvlJc w:val="left"/>
      <w:pPr>
        <w:ind w:left="6480" w:hanging="360"/>
      </w:pPr>
    </w:lvl>
  </w:abstractNum>
  <w:abstractNum w:abstractNumId="9" w15:restartNumberingAfterBreak="0">
    <w:nsid w:val="65D62044"/>
    <w:multiLevelType w:val="hybridMultilevel"/>
    <w:tmpl w:val="212636E8"/>
    <w:lvl w:ilvl="0" w:tplc="8862ABE4">
      <w:start w:val="1"/>
      <w:numFmt w:val="bullet"/>
      <w:lvlText w:val="•"/>
      <w:lvlJc w:val="left"/>
      <w:pPr>
        <w:ind w:left="680" w:hanging="340"/>
      </w:p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509015">
    <w:abstractNumId w:val="8"/>
    <w:lvlOverride w:ilvl="0">
      <w:startOverride w:val="1"/>
    </w:lvlOverride>
  </w:num>
  <w:num w:numId="2" w16cid:durableId="484978140">
    <w:abstractNumId w:val="3"/>
  </w:num>
  <w:num w:numId="3" w16cid:durableId="298347285">
    <w:abstractNumId w:val="7"/>
    <w:lvlOverride w:ilvl="0">
      <w:startOverride w:val="1"/>
    </w:lvlOverride>
  </w:num>
  <w:num w:numId="4" w16cid:durableId="698894224">
    <w:abstractNumId w:val="1"/>
  </w:num>
  <w:num w:numId="5" w16cid:durableId="192966140">
    <w:abstractNumId w:val="5"/>
  </w:num>
  <w:num w:numId="6" w16cid:durableId="1556500273">
    <w:abstractNumId w:val="3"/>
  </w:num>
  <w:num w:numId="7" w16cid:durableId="962349829">
    <w:abstractNumId w:val="6"/>
  </w:num>
  <w:num w:numId="8" w16cid:durableId="766075451">
    <w:abstractNumId w:val="4"/>
  </w:num>
  <w:num w:numId="9" w16cid:durableId="1396511964">
    <w:abstractNumId w:val="9"/>
  </w:num>
  <w:num w:numId="10" w16cid:durableId="1944218731">
    <w:abstractNumId w:val="0"/>
  </w:num>
  <w:num w:numId="11" w16cid:durableId="5382006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34EE"/>
    <w:rsid w:val="001F3D84"/>
    <w:rsid w:val="00205ACE"/>
    <w:rsid w:val="0031523B"/>
    <w:rsid w:val="003B6702"/>
    <w:rsid w:val="00611A57"/>
    <w:rsid w:val="00777B08"/>
    <w:rsid w:val="00832767"/>
    <w:rsid w:val="008D2047"/>
    <w:rsid w:val="0093581D"/>
    <w:rsid w:val="009B34EE"/>
    <w:rsid w:val="00A85501"/>
    <w:rsid w:val="00A863FD"/>
    <w:rsid w:val="00BC008E"/>
    <w:rsid w:val="00C14E43"/>
    <w:rsid w:val="00CB4A55"/>
    <w:rsid w:val="00D10CA3"/>
    <w:rsid w:val="00DB362A"/>
    <w:rsid w:val="00E21EC6"/>
    <w:rsid w:val="00E73DF2"/>
    <w:rsid w:val="00EC3800"/>
    <w:rsid w:val="00F451CF"/>
  </w:rsids>
  <m:mathPr>
    <m:mathFont m:val="Cambria Math"/>
    <m:brkBin m:val="before"/>
    <m:brkBinSub m:val="--"/>
    <m:smallFrac m:val="0"/>
    <m:dispDef/>
    <m:lMargin m:val="0"/>
    <m:rMargin m:val="0"/>
    <m:defJc m:val="centerGroup"/>
    <m:wrapIndent m:val="1440"/>
    <m:intLim m:val="subSup"/>
    <m:naryLim m:val="undOvr"/>
  </m:mathPr>
  <w:themeFontLang w:val="en-ET"/>
  <w:clrSchemeMapping w:bg1="light1" w:t1="dark1" w:bg2="light2" w:t2="dark2" w:accent1="accent1" w:accent2="accent2" w:accent3="accent3" w:accent4="accent4" w:accent5="accent5" w:accent6="accent6" w:hyperlink="hyperlink" w:followedHyperlink="followedHyperlink"/>
  <w:decimalSymbol w:val="."/>
  <w:listSeparator w:val=","/>
  <w14:docId w14:val="03D643E1"/>
  <w15:docId w15:val="{A8FB0070-3E91-444F-B4CD-411FD5B2E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1"/>
        <w:szCs w:val="21"/>
        <w:lang w:val="en-E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C3E7A"/>
      <w:sz w:val="34"/>
      <w:szCs w:val="34"/>
    </w:rPr>
  </w:style>
  <w:style w:type="paragraph" w:styleId="Heading2">
    <w:name w:val="heading 2"/>
    <w:uiPriority w:val="9"/>
    <w:unhideWhenUsed/>
    <w:qFormat/>
    <w:pPr>
      <w:spacing w:before="240" w:after="120"/>
      <w:outlineLvl w:val="1"/>
    </w:pPr>
    <w:rPr>
      <w:b/>
      <w:bCs/>
      <w:color w:val="2C3E7A"/>
      <w:sz w:val="26"/>
      <w:szCs w:val="26"/>
    </w:rPr>
  </w:style>
  <w:style w:type="paragraph" w:styleId="Heading3">
    <w:name w:val="heading 3"/>
    <w:uiPriority w:val="9"/>
    <w:unhideWhenUsed/>
    <w:qFormat/>
    <w:pPr>
      <w:spacing w:before="180" w:after="80"/>
      <w:outlineLvl w:val="2"/>
    </w:pPr>
    <w:rPr>
      <w:b/>
      <w:bCs/>
      <w:color w:val="3A5BA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93581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18</Pages>
  <Words>5415</Words>
  <Characters>30870</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cp:lastModifiedBy>
  <cp:revision>25</cp:revision>
  <dcterms:created xsi:type="dcterms:W3CDTF">2026-06-15T13:00:00Z</dcterms:created>
  <dcterms:modified xsi:type="dcterms:W3CDTF">2026-06-24T16:29:00Z</dcterms:modified>
</cp:coreProperties>
</file>