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Segoe UI" w:hAnsi="Segoe UI"/>
          <w:b/>
          <w:i w:val="0"/>
          <w:color w:val="1F6F4A"/>
          <w:sz w:val="17"/>
        </w:rPr>
        <w:t>TRANSMISSION ASSET MANAGEMENT SYSTEM</w:t>
      </w:r>
    </w:p>
    <w:p>
      <w:pPr>
        <w:spacing w:after="80" w:before="0"/>
      </w:pPr>
      <w:r>
        <w:rPr>
          <w:rFonts w:ascii="Segoe UI" w:hAnsi="Segoe UI"/>
          <w:b/>
          <w:color w:val="0F172A"/>
          <w:sz w:val="60"/>
        </w:rPr>
        <w:t>Every tower. Every task. Every proof.</w:t>
      </w:r>
    </w:p>
    <w:p>
      <w:pPr>
        <w:spacing w:after="120" w:before="0"/>
      </w:pPr>
      <w:r>
        <w:rPr>
          <w:rFonts w:ascii="Segoe UI" w:hAnsi="Segoe UI"/>
          <w:b w:val="0"/>
          <w:i w:val="0"/>
          <w:color w:val="475569"/>
          <w:sz w:val="24"/>
        </w:rPr>
        <w:t>TMMS is a geographic, asset-centric operations platform for high-voltage transmission networks. It keeps one authoritative record of every asset and location, and drives each piece of work through a closed loop: Plan → Dispatch → Execute → Document → Verify.</w:t>
      </w:r>
    </w:p>
    <w:p>
      <w:pPr>
        <w:spacing w:after="40"/>
        <w:jc w:val="center"/>
      </w:pPr>
      <w:r>
        <w:drawing>
          <wp:inline xmlns:a="http://schemas.openxmlformats.org/drawingml/2006/main" xmlns:pic="http://schemas.openxmlformats.org/drawingml/2006/picture">
            <wp:extent cx="6480000" cy="4050000"/>
            <wp:docPr id="1" name="Picture 1"/>
            <wp:cNvGraphicFramePr>
              <a:graphicFrameLocks noChangeAspect="1"/>
            </wp:cNvGraphicFramePr>
            <a:graphic>
              <a:graphicData uri="http://schemas.openxmlformats.org/drawingml/2006/picture">
                <pic:pic>
                  <pic:nvPicPr>
                    <pic:cNvPr id="0" name="06-map.png"/>
                    <pic:cNvPicPr/>
                  </pic:nvPicPr>
                  <pic:blipFill>
                    <a:blip r:embed="rId9"/>
                    <a:stretch>
                      <a:fillRect/>
                    </a:stretch>
                  </pic:blipFill>
                  <pic:spPr>
                    <a:xfrm>
                      <a:off x="0" y="0"/>
                      <a:ext cx="6480000" cy="4050000"/>
                    </a:xfrm>
                    <a:prstGeom prst="rect"/>
                  </pic:spPr>
                </pic:pic>
              </a:graphicData>
            </a:graphic>
          </wp:inline>
        </w:drawing>
      </w:r>
    </w:p>
    <w:tbl>
      <w:tblPr>
        <w:tblW w:type="auto" w:w="0"/>
        <w:tblLook w:firstColumn="1" w:firstRow="1" w:lastColumn="0" w:lastRow="0" w:noHBand="0" w:noVBand="1" w:val="04A0"/>
        <w:tblBorders>
          <w:top w:val="none"/>
          <w:left w:val="none"/>
          <w:bottom w:val="none"/>
          <w:right w:val="none"/>
          <w:insideH w:val="none"/>
          <w:insideV w:val="none"/>
        </w:tblBorders>
      </w:tblPr>
      <w:tblGrid>
        <w:gridCol w:w="2551"/>
        <w:gridCol w:w="2551"/>
        <w:gridCol w:w="2551"/>
        <w:gridCol w:w="2551"/>
      </w:tblGrid>
      <w:tr>
        <w:tc>
          <w:tcPr>
            <w:tcW w:type="dxa" w:w="2551"/>
          </w:tcPr>
          <w:p>
            <w:pPr>
              <w:spacing w:after="0"/>
              <w:jc w:val="center"/>
            </w:pPr>
            <w:r>
              <w:rPr>
                <w:b/>
                <w:color w:val="1F6F4A"/>
                <w:sz w:val="40"/>
              </w:rPr>
              <w:t>12,148</w:t>
            </w:r>
          </w:p>
        </w:tc>
        <w:tc>
          <w:tcPr>
            <w:tcW w:type="dxa" w:w="2551"/>
          </w:tcPr>
          <w:p>
            <w:pPr>
              <w:spacing w:after="0"/>
              <w:jc w:val="center"/>
            </w:pPr>
            <w:r>
              <w:rPr>
                <w:b/>
                <w:color w:val="1F6F4A"/>
                <w:sz w:val="40"/>
              </w:rPr>
              <w:t>13</w:t>
            </w:r>
          </w:p>
        </w:tc>
        <w:tc>
          <w:tcPr>
            <w:tcW w:type="dxa" w:w="2551"/>
          </w:tcPr>
          <w:p>
            <w:pPr>
              <w:spacing w:after="0"/>
              <w:jc w:val="center"/>
            </w:pPr>
            <w:r>
              <w:rPr>
                <w:b/>
                <w:color w:val="1F6F4A"/>
                <w:sz w:val="40"/>
              </w:rPr>
              <w:t>6</w:t>
            </w:r>
          </w:p>
        </w:tc>
        <w:tc>
          <w:tcPr>
            <w:tcW w:type="dxa" w:w="2551"/>
          </w:tcPr>
          <w:p>
            <w:pPr>
              <w:spacing w:after="0"/>
              <w:jc w:val="center"/>
            </w:pPr>
            <w:r>
              <w:rPr>
                <w:b/>
                <w:color w:val="1F6F4A"/>
                <w:sz w:val="40"/>
              </w:rPr>
              <w:t>1</w:t>
            </w:r>
          </w:p>
        </w:tc>
      </w:tr>
      <w:tr>
        <w:tc>
          <w:tcPr>
            <w:tcW w:type="dxa" w:w="2551"/>
          </w:tcPr>
          <w:p>
            <w:pPr>
              <w:jc w:val="center"/>
            </w:pPr>
            <w:r>
              <w:rPr>
                <w:color w:val="5B6B7C"/>
                <w:sz w:val="16"/>
              </w:rPr>
              <w:t>Georeferenced assets</w:t>
            </w:r>
          </w:p>
        </w:tc>
        <w:tc>
          <w:tcPr>
            <w:tcW w:type="dxa" w:w="2551"/>
          </w:tcPr>
          <w:p>
            <w:pPr>
              <w:jc w:val="center"/>
            </w:pPr>
            <w:r>
              <w:rPr>
                <w:color w:val="5B6B7C"/>
                <w:sz w:val="16"/>
              </w:rPr>
              <w:t>Regions managed</w:t>
            </w:r>
          </w:p>
        </w:tc>
        <w:tc>
          <w:tcPr>
            <w:tcW w:type="dxa" w:w="2551"/>
          </w:tcPr>
          <w:p>
            <w:pPr>
              <w:jc w:val="center"/>
            </w:pPr>
            <w:r>
              <w:rPr>
                <w:color w:val="5B6B7C"/>
                <w:sz w:val="16"/>
              </w:rPr>
              <w:t>Lifecycle stages</w:t>
            </w:r>
          </w:p>
        </w:tc>
        <w:tc>
          <w:tcPr>
            <w:tcW w:type="dxa" w:w="2551"/>
          </w:tcPr>
          <w:p>
            <w:pPr>
              <w:jc w:val="center"/>
            </w:pPr>
            <w:r>
              <w:rPr>
                <w:color w:val="5B6B7C"/>
                <w:sz w:val="16"/>
              </w:rPr>
              <w:t>Source of truth</w:t>
            </w:r>
          </w:p>
        </w:tc>
      </w:tr>
    </w:tbl>
    <w:p>
      <w:pPr>
        <w:spacing w:after="0"/>
      </w:pPr>
      <w:r>
        <w:br w:type="page"/>
      </w:r>
    </w:p>
    <w:p>
      <w:pPr>
        <w:spacing w:after="40" w:before="0"/>
      </w:pPr>
      <w:r>
        <w:rPr>
          <w:rFonts w:ascii="Segoe UI" w:hAnsi="Segoe UI"/>
          <w:b/>
          <w:i w:val="0"/>
          <w:color w:val="1F6F4A"/>
          <w:sz w:val="17"/>
        </w:rPr>
        <w:t>WHY TMMS</w:t>
      </w:r>
    </w:p>
    <w:p>
      <w:pPr>
        <w:spacing w:after="80" w:before="0"/>
      </w:pPr>
      <w:r>
        <w:rPr>
          <w:rFonts w:ascii="Segoe UI" w:hAnsi="Segoe UI"/>
          <w:b/>
          <w:color w:val="0F172A"/>
          <w:sz w:val="48"/>
        </w:rPr>
        <w:t>One closed loop from plan to proof</w:t>
      </w:r>
    </w:p>
    <w:p>
      <w:pPr>
        <w:spacing w:before="40" w:after="160"/>
        <w:pBdr>
          <w:bottom w:val="single" w:sz="18" w:space="1" w:color="1F6F4A"/>
        </w:pBdr>
      </w:pPr>
    </w:p>
    <w:p>
      <w:pPr>
        <w:spacing w:after="120" w:before="0"/>
      </w:pPr>
      <w:r>
        <w:rPr>
          <w:rFonts w:ascii="Segoe UI" w:hAnsi="Segoe UI"/>
          <w:b w:val="0"/>
          <w:i w:val="0"/>
          <w:color w:val="334155"/>
          <w:sz w:val="23"/>
        </w:rPr>
        <w:t>Utilities rarely fail for lack of work orders. They fail because the plan, the dispatch, the field evidence and the verification live in separate places — so nobody can prove what happened, where, or when. TMMS closes that loop in a single georeferenced system.</w:t>
      </w:r>
    </w:p>
    <w:p>
      <w:pPr>
        <w:spacing w:after="40"/>
        <w:jc w:val="center"/>
      </w:pPr>
      <w:r>
        <w:drawing>
          <wp:inline xmlns:a="http://schemas.openxmlformats.org/drawingml/2006/main" xmlns:pic="http://schemas.openxmlformats.org/drawingml/2006/picture">
            <wp:extent cx="6480000" cy="3110400"/>
            <wp:docPr id="2" name="Picture 2"/>
            <wp:cNvGraphicFramePr>
              <a:graphicFrameLocks noChangeAspect="1"/>
            </wp:cNvGraphicFramePr>
            <a:graphic>
              <a:graphicData uri="http://schemas.openxmlformats.org/drawingml/2006/picture">
                <pic:pic>
                  <pic:nvPicPr>
                    <pic:cNvPr id="0" name="diagram-closed-loop.png"/>
                    <pic:cNvPicPr/>
                  </pic:nvPicPr>
                  <pic:blipFill>
                    <a:blip r:embed="rId10"/>
                    <a:stretch>
                      <a:fillRect/>
                    </a:stretch>
                  </pic:blipFill>
                  <pic:spPr>
                    <a:xfrm>
                      <a:off x="0" y="0"/>
                      <a:ext cx="6480000" cy="3110400"/>
                    </a:xfrm>
                    <a:prstGeom prst="rect"/>
                  </pic:spPr>
                </pic:pic>
              </a:graphicData>
            </a:graphic>
          </wp:inline>
        </w:drawing>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02"/>
        <w:gridCol w:w="3402"/>
        <w:gridCol w:w="3402"/>
      </w:tblGrid>
      <w:tr>
        <w:tc>
          <w:tcPr>
            <w:tcW w:type="dxa" w:w="3213"/>
            <w:shd w:val="clear" w:color="auto" w:fill="F1F8F3"/>
          </w:tcPr>
          <w:p>
            <w:pPr>
              <w:spacing w:after="40"/>
            </w:pPr>
            <w:r>
              <w:rPr>
                <w:b/>
                <w:color w:val="0F172A"/>
                <w:sz w:val="20"/>
              </w:rPr>
              <w:t>1. Georeferenced by default</w:t>
            </w:r>
          </w:p>
          <w:p>
            <w:pPr>
              <w:spacing w:after="40"/>
            </w:pPr>
            <w:r>
              <w:rPr>
                <w:color w:val="334155"/>
                <w:sz w:val="17"/>
              </w:rPr>
              <w:t>Every substation, line, tower and asset carries coordinates. Locations are verified, not trusted.</w:t>
            </w:r>
          </w:p>
        </w:tc>
        <w:tc>
          <w:tcPr>
            <w:tcW w:type="dxa" w:w="3213"/>
            <w:shd w:val="clear" w:color="auto" w:fill="F1F8F3"/>
          </w:tcPr>
          <w:p>
            <w:pPr>
              <w:spacing w:after="40"/>
            </w:pPr>
            <w:r>
              <w:rPr>
                <w:b/>
                <w:color w:val="0F172A"/>
                <w:sz w:val="20"/>
              </w:rPr>
              <w:t>2. Accountable to the person</w:t>
            </w:r>
          </w:p>
          <w:p>
            <w:pPr>
              <w:spacing w:after="40"/>
            </w:pPr>
            <w:r>
              <w:rPr>
                <w:color w:val="334155"/>
                <w:sz w:val="17"/>
              </w:rPr>
              <w:t>Each stage has one owner. The verifier can never be the executor, and every action is logged.</w:t>
            </w:r>
          </w:p>
        </w:tc>
        <w:tc>
          <w:tcPr>
            <w:tcW w:type="dxa" w:w="3213"/>
            <w:shd w:val="clear" w:color="auto" w:fill="F1F8F3"/>
          </w:tcPr>
          <w:p>
            <w:pPr>
              <w:spacing w:after="40"/>
            </w:pPr>
            <w:r>
              <w:rPr>
                <w:b/>
                <w:color w:val="0F172A"/>
                <w:sz w:val="20"/>
              </w:rPr>
              <w:t>3. Nothing disappears</w:t>
            </w:r>
          </w:p>
          <w:p>
            <w:pPr>
              <w:spacing w:after="40"/>
            </w:pPr>
            <w:r>
              <w:rPr>
                <w:color w:val="334155"/>
                <w:sz w:val="17"/>
              </w:rPr>
              <w:t>Recurring work is automated, evidence is retained, and closed work feeds the next plan.</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10206"/>
      </w:tblGrid>
      <w:tr>
        <w:tc>
          <w:tcPr>
            <w:tcW w:type="dxa" w:w="10206"/>
            <w:shd w:val="clear" w:color="auto" w:fill="0B3D2A"/>
          </w:tcPr>
          <w:p>
            <w:pPr>
              <w:spacing w:after="40"/>
            </w:pPr>
            <w:r>
              <w:rPr>
                <w:b/>
                <w:color w:val="FFFFFF"/>
                <w:sz w:val="26"/>
              </w:rPr>
              <w:t>Built for the field, trusted by the board</w:t>
            </w:r>
          </w:p>
          <w:p>
            <w:pPr>
              <w:spacing w:after="0"/>
            </w:pPr>
            <w:r>
              <w:rPr>
                <w:color w:val="C7D6CD"/>
                <w:sz w:val="18"/>
              </w:rPr>
              <w:t>A crew sees only its assigned work. A manager sees the crews it commands. A director sees the region. An executive sees the whole network — the same data, filtered by role, never duplicated.</w:t>
            </w:r>
          </w:p>
        </w:tc>
      </w:tr>
    </w:tbl>
    <w:p>
      <w:pPr>
        <w:spacing w:after="0"/>
      </w:pPr>
      <w:r>
        <w:br w:type="page"/>
      </w:r>
    </w:p>
    <w:p>
      <w:pPr>
        <w:spacing w:after="40" w:before="0"/>
      </w:pPr>
      <w:r>
        <w:rPr>
          <w:rFonts w:ascii="Segoe UI" w:hAnsi="Segoe UI"/>
          <w:b/>
          <w:i w:val="0"/>
          <w:color w:val="1F6F4A"/>
          <w:sz w:val="17"/>
        </w:rPr>
        <w:t>THE COMMAND CENTER</w:t>
      </w:r>
    </w:p>
    <w:p>
      <w:pPr>
        <w:spacing w:after="80" w:before="0"/>
      </w:pPr>
      <w:r>
        <w:rPr>
          <w:rFonts w:ascii="Segoe UI" w:hAnsi="Segoe UI"/>
          <w:b/>
          <w:color w:val="0F172A"/>
          <w:sz w:val="44"/>
        </w:rPr>
        <w:t>A home that tells each role exactly what to do</w:t>
      </w:r>
    </w:p>
    <w:p>
      <w:pPr>
        <w:spacing w:before="40" w:after="160"/>
        <w:pBdr>
          <w:bottom w:val="single" w:sz="18" w:space="1" w:color="1F6F4A"/>
        </w:pBdr>
      </w:pPr>
    </w:p>
    <w:p>
      <w:pPr>
        <w:spacing w:after="120" w:before="0"/>
      </w:pPr>
      <w:r>
        <w:rPr>
          <w:rFonts w:ascii="Segoe UI" w:hAnsi="Segoe UI"/>
          <w:b w:val="0"/>
          <w:i w:val="0"/>
          <w:color w:val="334155"/>
          <w:sz w:val="22"/>
        </w:rPr>
        <w:t>Every signed-in user gets a function banner and one card per task bucket their role owns — execute, schedule, assign, verify or review. Buckets are separate sections, never merged into one queue, so scheduling, assignment, execution and verification never mix.</w:t>
      </w:r>
    </w:p>
    <w:p>
      <w:pPr>
        <w:spacing w:after="40"/>
        <w:jc w:val="center"/>
      </w:pPr>
      <w:r>
        <w:drawing>
          <wp:inline xmlns:a="http://schemas.openxmlformats.org/drawingml/2006/main" xmlns:pic="http://schemas.openxmlformats.org/drawingml/2006/picture">
            <wp:extent cx="6480000" cy="4050000"/>
            <wp:docPr id="3" name="Picture 3"/>
            <wp:cNvGraphicFramePr>
              <a:graphicFrameLocks noChangeAspect="1"/>
            </wp:cNvGraphicFramePr>
            <a:graphic>
              <a:graphicData uri="http://schemas.openxmlformats.org/drawingml/2006/picture">
                <pic:pic>
                  <pic:nvPicPr>
                    <pic:cNvPr id="0" name="03-home.png"/>
                    <pic:cNvPicPr/>
                  </pic:nvPicPr>
                  <pic:blipFill>
                    <a:blip r:embed="rId11"/>
                    <a:stretch>
                      <a:fillRect/>
                    </a:stretch>
                  </pic:blipFill>
                  <pic:spPr>
                    <a:xfrm>
                      <a:off x="0" y="0"/>
                      <a:ext cx="6480000" cy="4050000"/>
                    </a:xfrm>
                    <a:prstGeom prst="rect"/>
                  </pic:spPr>
                </pic:pic>
              </a:graphicData>
            </a:graphic>
          </wp:inline>
        </w:drawing>
      </w:r>
    </w:p>
    <w:p>
      <w:pPr>
        <w:spacing w:after="160" w:before="0"/>
        <w:jc w:val="center"/>
      </w:pPr>
      <w:r>
        <w:rPr>
          <w:rFonts w:ascii="Segoe UI" w:hAnsi="Segoe UI"/>
          <w:b w:val="0"/>
          <w:i/>
          <w:color w:val="5B6B7C"/>
          <w:sz w:val="15"/>
        </w:rPr>
        <w:t>Home — role-scoped buckets with live counts and collapsible sub-categories.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961"/>
          </w:tcPr>
          <w:p>
            <w:pPr>
              <w:spacing w:after="40"/>
              <w:jc w:val="center"/>
            </w:pPr>
            <w:r>
              <w:drawing>
                <wp:inline xmlns:a="http://schemas.openxmlformats.org/drawingml/2006/main" xmlns:pic="http://schemas.openxmlformats.org/drawingml/2006/picture">
                  <wp:extent cx="3078000" cy="1923750"/>
                  <wp:docPr id="4" name="Picture 4"/>
                  <wp:cNvGraphicFramePr>
                    <a:graphicFrameLocks noChangeAspect="1"/>
                  </wp:cNvGraphicFramePr>
                  <a:graphic>
                    <a:graphicData uri="http://schemas.openxmlformats.org/drawingml/2006/picture">
                      <pic:pic>
                        <pic:nvPicPr>
                          <pic:cNvPr id="0" name="04-dashboard.png"/>
                          <pic:cNvPicPr/>
                        </pic:nvPicPr>
                        <pic:blipFill>
                          <a:blip r:embed="rId12"/>
                          <a:stretch>
                            <a:fillRect/>
                          </a:stretch>
                        </pic:blipFill>
                        <pic:spPr>
                          <a:xfrm>
                            <a:off x="0" y="0"/>
                            <a:ext cx="3078000" cy="1923750"/>
                          </a:xfrm>
                          <a:prstGeom prst="rect"/>
                        </pic:spPr>
                      </pic:pic>
                    </a:graphicData>
                  </a:graphic>
                </wp:inline>
              </w:drawing>
            </w:r>
          </w:p>
        </w:tc>
        <w:tc>
          <w:tcPr>
            <w:tcW w:type="dxa" w:w="4961"/>
          </w:tcPr>
          <w:p>
            <w:pPr>
              <w:spacing w:after="40"/>
              <w:jc w:val="center"/>
            </w:pPr>
            <w:r>
              <w:drawing>
                <wp:inline xmlns:a="http://schemas.openxmlformats.org/drawingml/2006/main" xmlns:pic="http://schemas.openxmlformats.org/drawingml/2006/picture">
                  <wp:extent cx="3078000" cy="1923750"/>
                  <wp:docPr id="5" name="Picture 5"/>
                  <wp:cNvGraphicFramePr>
                    <a:graphicFrameLocks noChangeAspect="1"/>
                  </wp:cNvGraphicFramePr>
                  <a:graphic>
                    <a:graphicData uri="http://schemas.openxmlformats.org/drawingml/2006/picture">
                      <pic:pic>
                        <pic:nvPicPr>
                          <pic:cNvPr id="0" name="17-organization.png"/>
                          <pic:cNvPicPr/>
                        </pic:nvPicPr>
                        <pic:blipFill>
                          <a:blip r:embed="rId13"/>
                          <a:stretch>
                            <a:fillRect/>
                          </a:stretch>
                        </pic:blipFill>
                        <pic:spPr>
                          <a:xfrm>
                            <a:off x="0" y="0"/>
                            <a:ext cx="3078000" cy="1923750"/>
                          </a:xfrm>
                          <a:prstGeom prst="rect"/>
                        </pic:spPr>
                      </pic:pic>
                    </a:graphicData>
                  </a:graphic>
                </wp:inline>
              </w:drawing>
            </w:r>
          </w:p>
        </w:tc>
      </w:tr>
      <w:tr>
        <w:tc>
          <w:tcPr>
            <w:tcW w:type="dxa" w:w="4961"/>
          </w:tcPr>
          <w:p>
            <w:pPr>
              <w:spacing w:after="120"/>
              <w:jc w:val="center"/>
            </w:pPr>
            <w:r>
              <w:rPr>
                <w:i/>
                <w:color w:val="5B6B7C"/>
                <w:sz w:val="15"/>
              </w:rPr>
              <w:t>Dashboard — operational overview.</w:t>
            </w:r>
          </w:p>
        </w:tc>
        <w:tc>
          <w:tcPr>
            <w:tcW w:type="dxa" w:w="4961"/>
          </w:tcPr>
          <w:p>
            <w:pPr>
              <w:spacing w:after="120"/>
              <w:jc w:val="center"/>
            </w:pPr>
            <w:r>
              <w:rPr>
                <w:i/>
                <w:color w:val="5B6B7C"/>
                <w:sz w:val="15"/>
              </w:rPr>
              <w:t>Organization — each unit's function and the role that heads it.</w:t>
            </w:r>
          </w:p>
        </w:tc>
      </w:tr>
    </w:tbl>
    <w:p>
      <w:pPr>
        <w:spacing w:after="0"/>
      </w:pPr>
      <w:r>
        <w:br w:type="page"/>
      </w:r>
    </w:p>
    <w:p>
      <w:pPr>
        <w:spacing w:after="40" w:before="0"/>
      </w:pPr>
      <w:r>
        <w:rPr>
          <w:rFonts w:ascii="Segoe UI" w:hAnsi="Segoe UI"/>
          <w:b/>
          <w:i w:val="0"/>
          <w:color w:val="1F6F4A"/>
          <w:sz w:val="17"/>
        </w:rPr>
        <w:t>GEOSPATIAL INTELLIGENCE</w:t>
      </w:r>
    </w:p>
    <w:p>
      <w:pPr>
        <w:spacing w:after="80" w:before="0"/>
      </w:pPr>
      <w:r>
        <w:rPr>
          <w:rFonts w:ascii="Segoe UI" w:hAnsi="Segoe UI"/>
          <w:b/>
          <w:color w:val="0F172A"/>
          <w:sz w:val="44"/>
        </w:rPr>
        <w:t>See the whole network, then prove you were there</w:t>
      </w:r>
    </w:p>
    <w:p>
      <w:pPr>
        <w:spacing w:before="40" w:after="160"/>
        <w:pBdr>
          <w:bottom w:val="single" w:sz="18" w:space="1" w:color="1F6F4A"/>
        </w:pBdr>
      </w:pPr>
    </w:p>
    <w:p>
      <w:pPr>
        <w:spacing w:after="120" w:before="0"/>
      </w:pPr>
      <w:r>
        <w:rPr>
          <w:rFonts w:ascii="Segoe UI" w:hAnsi="Segoe UI"/>
          <w:b w:val="0"/>
          <w:i w:val="0"/>
          <w:color w:val="334155"/>
          <w:sz w:val="22"/>
        </w:rPr>
        <w:t>Satellite and vector layers plot substations, transmission lines and towers with live inspection coverage. Field capture records a GPS point against the expected device location, so a completed step carries proof of presence — not just a claim.</w:t>
      </w:r>
    </w:p>
    <w:p>
      <w:pPr>
        <w:spacing w:after="40"/>
        <w:jc w:val="center"/>
      </w:pPr>
      <w:r>
        <w:drawing>
          <wp:inline xmlns:a="http://schemas.openxmlformats.org/drawingml/2006/main" xmlns:pic="http://schemas.openxmlformats.org/drawingml/2006/picture">
            <wp:extent cx="6480000" cy="4050000"/>
            <wp:docPr id="6" name="Picture 6"/>
            <wp:cNvGraphicFramePr>
              <a:graphicFrameLocks noChangeAspect="1"/>
            </wp:cNvGraphicFramePr>
            <a:graphic>
              <a:graphicData uri="http://schemas.openxmlformats.org/drawingml/2006/picture">
                <pic:pic>
                  <pic:nvPicPr>
                    <pic:cNvPr id="0" name="06-map.png"/>
                    <pic:cNvPicPr/>
                  </pic:nvPicPr>
                  <pic:blipFill>
                    <a:blip r:embed="rId9"/>
                    <a:stretch>
                      <a:fillRect/>
                    </a:stretch>
                  </pic:blipFill>
                  <pic:spPr>
                    <a:xfrm>
                      <a:off x="0" y="0"/>
                      <a:ext cx="6480000" cy="4050000"/>
                    </a:xfrm>
                    <a:prstGeom prst="rect"/>
                  </pic:spPr>
                </pic:pic>
              </a:graphicData>
            </a:graphic>
          </wp:inline>
        </w:drawing>
      </w:r>
    </w:p>
    <w:p>
      <w:pPr>
        <w:spacing w:after="160" w:before="0"/>
        <w:jc w:val="center"/>
      </w:pPr>
      <w:r>
        <w:rPr>
          <w:rFonts w:ascii="Segoe UI" w:hAnsi="Segoe UI"/>
          <w:b w:val="0"/>
          <w:i/>
          <w:color w:val="5B6B7C"/>
          <w:sz w:val="15"/>
        </w:rPr>
        <w:t>Integrated map — substations, line corridors and asset coverage in one view.</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961"/>
          </w:tcPr>
          <w:p>
            <w:pPr>
              <w:spacing w:after="40"/>
              <w:jc w:val="center"/>
            </w:pPr>
            <w:r>
              <w:drawing>
                <wp:inline xmlns:a="http://schemas.openxmlformats.org/drawingml/2006/main" xmlns:pic="http://schemas.openxmlformats.org/drawingml/2006/picture">
                  <wp:extent cx="3078000" cy="1923750"/>
                  <wp:docPr id="7" name="Picture 7"/>
                  <wp:cNvGraphicFramePr>
                    <a:graphicFrameLocks noChangeAspect="1"/>
                  </wp:cNvGraphicFramePr>
                  <a:graphic>
                    <a:graphicData uri="http://schemas.openxmlformats.org/drawingml/2006/picture">
                      <pic:pic>
                        <pic:nvPicPr>
                          <pic:cNvPr id="0" name="23-task-detail.png"/>
                          <pic:cNvPicPr/>
                        </pic:nvPicPr>
                        <pic:blipFill>
                          <a:blip r:embed="rId14"/>
                          <a:stretch>
                            <a:fillRect/>
                          </a:stretch>
                        </pic:blipFill>
                        <pic:spPr>
                          <a:xfrm>
                            <a:off x="0" y="0"/>
                            <a:ext cx="3078000" cy="1923750"/>
                          </a:xfrm>
                          <a:prstGeom prst="rect"/>
                        </pic:spPr>
                      </pic:pic>
                    </a:graphicData>
                  </a:graphic>
                </wp:inline>
              </w:drawing>
            </w:r>
          </w:p>
        </w:tc>
        <w:tc>
          <w:tcPr>
            <w:tcW w:type="dxa" w:w="4961"/>
          </w:tcPr>
          <w:p>
            <w:pPr>
              <w:spacing w:after="40"/>
              <w:jc w:val="center"/>
            </w:pPr>
            <w:r>
              <w:drawing>
                <wp:inline xmlns:a="http://schemas.openxmlformats.org/drawingml/2006/main" xmlns:pic="http://schemas.openxmlformats.org/drawingml/2006/picture">
                  <wp:extent cx="3078000" cy="1923750"/>
                  <wp:docPr id="8" name="Picture 8"/>
                  <wp:cNvGraphicFramePr>
                    <a:graphicFrameLocks noChangeAspect="1"/>
                  </wp:cNvGraphicFramePr>
                  <a:graphic>
                    <a:graphicData uri="http://schemas.openxmlformats.org/drawingml/2006/picture">
                      <pic:pic>
                        <pic:nvPicPr>
                          <pic:cNvPr id="0" name="19-gps.png"/>
                          <pic:cNvPicPr/>
                        </pic:nvPicPr>
                        <pic:blipFill>
                          <a:blip r:embed="rId15"/>
                          <a:stretch>
                            <a:fillRect/>
                          </a:stretch>
                        </pic:blipFill>
                        <pic:spPr>
                          <a:xfrm>
                            <a:off x="0" y="0"/>
                            <a:ext cx="3078000" cy="1923750"/>
                          </a:xfrm>
                          <a:prstGeom prst="rect"/>
                        </pic:spPr>
                      </pic:pic>
                    </a:graphicData>
                  </a:graphic>
                </wp:inline>
              </w:drawing>
            </w:r>
          </w:p>
        </w:tc>
      </w:tr>
      <w:tr>
        <w:tc>
          <w:tcPr>
            <w:tcW w:type="dxa" w:w="4961"/>
          </w:tcPr>
          <w:p>
            <w:pPr>
              <w:spacing w:after="120"/>
              <w:jc w:val="center"/>
            </w:pPr>
            <w:r>
              <w:rPr>
                <w:i/>
                <w:color w:val="5B6B7C"/>
                <w:sz w:val="15"/>
              </w:rPr>
              <w:t>Task route — line coverage, crew path and progress.</w:t>
            </w:r>
          </w:p>
        </w:tc>
        <w:tc>
          <w:tcPr>
            <w:tcW w:type="dxa" w:w="4961"/>
          </w:tcPr>
          <w:p>
            <w:pPr>
              <w:spacing w:after="120"/>
              <w:jc w:val="center"/>
            </w:pPr>
            <w:r>
              <w:rPr>
                <w:i/>
                <w:color w:val="5B6B7C"/>
                <w:sz w:val="15"/>
              </w:rPr>
              <w:t>GPS validation — capture against device tolerance.</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02"/>
        <w:gridCol w:w="3402"/>
        <w:gridCol w:w="3402"/>
      </w:tblGrid>
      <w:tr>
        <w:tc>
          <w:tcPr>
            <w:tcW w:type="dxa" w:w="3213"/>
          </w:tcPr>
          <w:p>
            <w:pPr>
              <w:spacing w:after="40"/>
            </w:pPr>
            <w:r>
              <w:rPr>
                <w:b/>
                <w:color w:val="0F172A"/>
                <w:sz w:val="20"/>
              </w:rPr>
              <w:t>Geofences</w:t>
            </w:r>
          </w:p>
          <w:p>
            <w:pPr>
              <w:spacing w:after="40"/>
            </w:pPr>
            <w:r>
              <w:rPr>
                <w:color w:val="334155"/>
                <w:sz w:val="17"/>
              </w:rPr>
              <w:t>Coordinates are checked against the real world before they are trusted.</w:t>
            </w:r>
          </w:p>
        </w:tc>
        <w:tc>
          <w:tcPr>
            <w:tcW w:type="dxa" w:w="3213"/>
          </w:tcPr>
          <w:p>
            <w:pPr>
              <w:spacing w:after="40"/>
            </w:pPr>
            <w:r>
              <w:rPr>
                <w:b/>
                <w:color w:val="0F172A"/>
                <w:sz w:val="20"/>
              </w:rPr>
              <w:t>Coverage</w:t>
            </w:r>
          </w:p>
          <w:p>
            <w:pPr>
              <w:spacing w:after="40"/>
            </w:pPr>
            <w:r>
              <w:rPr>
                <w:color w:val="334155"/>
                <w:sz w:val="17"/>
              </w:rPr>
              <w:t>Line and tower inspection progress computed automatically.</w:t>
            </w:r>
          </w:p>
        </w:tc>
        <w:tc>
          <w:tcPr>
            <w:tcW w:type="dxa" w:w="3213"/>
          </w:tcPr>
          <w:p>
            <w:pPr>
              <w:spacing w:after="40"/>
            </w:pPr>
            <w:r>
              <w:rPr>
                <w:b/>
                <w:color w:val="0F172A"/>
                <w:sz w:val="20"/>
              </w:rPr>
              <w:t>Violations</w:t>
            </w:r>
          </w:p>
          <w:p>
            <w:pPr>
              <w:spacing w:after="40"/>
            </w:pPr>
            <w:r>
              <w:rPr>
                <w:color w:val="334155"/>
                <w:sz w:val="17"/>
              </w:rPr>
              <w:t>Out-of-tolerance captures are reviewable and auditable.</w:t>
            </w:r>
          </w:p>
        </w:tc>
      </w:tr>
    </w:tbl>
    <w:p>
      <w:pPr>
        <w:spacing w:after="0"/>
      </w:pPr>
      <w:r>
        <w:br w:type="page"/>
      </w:r>
    </w:p>
    <w:p>
      <w:pPr>
        <w:spacing w:after="40" w:before="0"/>
      </w:pPr>
      <w:r>
        <w:rPr>
          <w:rFonts w:ascii="Segoe UI" w:hAnsi="Segoe UI"/>
          <w:b/>
          <w:i w:val="0"/>
          <w:color w:val="1F6F4A"/>
          <w:sz w:val="17"/>
        </w:rPr>
        <w:t>INFRASTRUCTURE REGISTRY</w:t>
      </w:r>
    </w:p>
    <w:p>
      <w:pPr>
        <w:spacing w:after="80" w:before="0"/>
      </w:pPr>
      <w:r>
        <w:rPr>
          <w:rFonts w:ascii="Segoe UI" w:hAnsi="Segoe UI"/>
          <w:b/>
          <w:color w:val="0F172A"/>
          <w:sz w:val="44"/>
        </w:rPr>
        <w:t>One authoritative record of every asset</w:t>
      </w:r>
    </w:p>
    <w:p>
      <w:pPr>
        <w:spacing w:before="40" w:after="160"/>
        <w:pBdr>
          <w:bottom w:val="single" w:sz="18" w:space="1" w:color="1F6F4A"/>
        </w:pBdr>
      </w:pPr>
    </w:p>
    <w:p>
      <w:pPr>
        <w:spacing w:after="120" w:before="0"/>
      </w:pPr>
      <w:r>
        <w:rPr>
          <w:rFonts w:ascii="Segoe UI" w:hAnsi="Segoe UI"/>
          <w:b w:val="0"/>
          <w:i w:val="0"/>
          <w:color w:val="334155"/>
          <w:sz w:val="22"/>
        </w:rPr>
        <w:t>Regions, substations, transmission lines, towers, components and equipment are modelled as one connected tree. Condition scores, class mix, per-region distribution and the top degrading assets are computed from the same source of truth that drives the map and the work.</w:t>
      </w:r>
    </w:p>
    <w:p>
      <w:pPr>
        <w:spacing w:after="40"/>
        <w:jc w:val="center"/>
      </w:pPr>
      <w:r>
        <w:drawing>
          <wp:inline xmlns:a="http://schemas.openxmlformats.org/drawingml/2006/main" xmlns:pic="http://schemas.openxmlformats.org/drawingml/2006/picture">
            <wp:extent cx="6480000" cy="4050000"/>
            <wp:docPr id="9" name="Picture 9"/>
            <wp:cNvGraphicFramePr>
              <a:graphicFrameLocks noChangeAspect="1"/>
            </wp:cNvGraphicFramePr>
            <a:graphic>
              <a:graphicData uri="http://schemas.openxmlformats.org/drawingml/2006/picture">
                <pic:pic>
                  <pic:nvPicPr>
                    <pic:cNvPr id="0" name="24-assets-register.png"/>
                    <pic:cNvPicPr/>
                  </pic:nvPicPr>
                  <pic:blipFill>
                    <a:blip r:embed="rId16"/>
                    <a:stretch>
                      <a:fillRect/>
                    </a:stretch>
                  </pic:blipFill>
                  <pic:spPr>
                    <a:xfrm>
                      <a:off x="0" y="0"/>
                      <a:ext cx="6480000" cy="4050000"/>
                    </a:xfrm>
                    <a:prstGeom prst="rect"/>
                  </pic:spPr>
                </pic:pic>
              </a:graphicData>
            </a:graphic>
          </wp:inline>
        </w:drawing>
      </w:r>
    </w:p>
    <w:p>
      <w:pPr>
        <w:spacing w:after="160" w:before="0"/>
        <w:jc w:val="center"/>
      </w:pPr>
      <w:r>
        <w:rPr>
          <w:rFonts w:ascii="Segoe UI" w:hAnsi="Segoe UI"/>
          <w:b w:val="0"/>
          <w:i/>
          <w:color w:val="5B6B7C"/>
          <w:sz w:val="15"/>
        </w:rPr>
        <w:t>Assets overview — condition distribution, mix by class, by region and top degradation.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961"/>
          </w:tcPr>
          <w:p>
            <w:pPr>
              <w:spacing w:after="40"/>
              <w:jc w:val="center"/>
            </w:pPr>
            <w:r>
              <w:drawing>
                <wp:inline xmlns:a="http://schemas.openxmlformats.org/drawingml/2006/main" xmlns:pic="http://schemas.openxmlformats.org/drawingml/2006/picture">
                  <wp:extent cx="3078000" cy="1923750"/>
                  <wp:docPr id="10" name="Picture 10"/>
                  <wp:cNvGraphicFramePr>
                    <a:graphicFrameLocks noChangeAspect="1"/>
                  </wp:cNvGraphicFramePr>
                  <a:graphic>
                    <a:graphicData uri="http://schemas.openxmlformats.org/drawingml/2006/picture">
                      <pic:pic>
                        <pic:nvPicPr>
                          <pic:cNvPr id="0" name="07-assets.png"/>
                          <pic:cNvPicPr/>
                        </pic:nvPicPr>
                        <pic:blipFill>
                          <a:blip r:embed="rId17"/>
                          <a:stretch>
                            <a:fillRect/>
                          </a:stretch>
                        </pic:blipFill>
                        <pic:spPr>
                          <a:xfrm>
                            <a:off x="0" y="0"/>
                            <a:ext cx="3078000" cy="1923750"/>
                          </a:xfrm>
                          <a:prstGeom prst="rect"/>
                        </pic:spPr>
                      </pic:pic>
                    </a:graphicData>
                  </a:graphic>
                </wp:inline>
              </w:drawing>
            </w:r>
          </w:p>
        </w:tc>
        <w:tc>
          <w:tcPr>
            <w:tcW w:type="dxa" w:w="4961"/>
          </w:tcPr>
          <w:p>
            <w:pPr>
              <w:spacing w:after="40"/>
              <w:jc w:val="center"/>
            </w:pPr>
            <w:r>
              <w:drawing>
                <wp:inline xmlns:a="http://schemas.openxmlformats.org/drawingml/2006/main" xmlns:pic="http://schemas.openxmlformats.org/drawingml/2006/picture">
                  <wp:extent cx="3078000" cy="1923750"/>
                  <wp:docPr id="11" name="Picture 11"/>
                  <wp:cNvGraphicFramePr>
                    <a:graphicFrameLocks noChangeAspect="1"/>
                  </wp:cNvGraphicFramePr>
                  <a:graphic>
                    <a:graphicData uri="http://schemas.openxmlformats.org/drawingml/2006/picture">
                      <pic:pic>
                        <pic:nvPicPr>
                          <pic:cNvPr id="0" name="15-value.png"/>
                          <pic:cNvPicPr/>
                        </pic:nvPicPr>
                        <pic:blipFill>
                          <a:blip r:embed="rId18"/>
                          <a:stretch>
                            <a:fillRect/>
                          </a:stretch>
                        </pic:blipFill>
                        <pic:spPr>
                          <a:xfrm>
                            <a:off x="0" y="0"/>
                            <a:ext cx="3078000" cy="1923750"/>
                          </a:xfrm>
                          <a:prstGeom prst="rect"/>
                        </pic:spPr>
                      </pic:pic>
                    </a:graphicData>
                  </a:graphic>
                </wp:inline>
              </w:drawing>
            </w:r>
          </w:p>
        </w:tc>
      </w:tr>
      <w:tr>
        <w:tc>
          <w:tcPr>
            <w:tcW w:type="dxa" w:w="4961"/>
          </w:tcPr>
          <w:p>
            <w:pPr>
              <w:spacing w:after="120"/>
              <w:jc w:val="center"/>
            </w:pPr>
            <w:r>
              <w:rPr>
                <w:i/>
                <w:color w:val="5B6B7C"/>
                <w:sz w:val="15"/>
              </w:rPr>
              <w:t>Asset register — paged, filtered, exportable.</w:t>
            </w:r>
          </w:p>
        </w:tc>
        <w:tc>
          <w:tcPr>
            <w:tcW w:type="dxa" w:w="4961"/>
          </w:tcPr>
          <w:p>
            <w:pPr>
              <w:spacing w:after="120"/>
              <w:jc w:val="center"/>
            </w:pPr>
            <w:r>
              <w:rPr>
                <w:i/>
                <w:color w:val="5B6B7C"/>
                <w:sz w:val="15"/>
              </w:rPr>
              <w:t>The same register carries replacement cost and condition-adjusted value.</w:t>
            </w:r>
          </w:p>
        </w:tc>
      </w:tr>
    </w:tbl>
    <w:p>
      <w:pPr>
        <w:spacing w:after="0"/>
      </w:pPr>
      <w:r>
        <w:br w:type="page"/>
      </w:r>
    </w:p>
    <w:p>
      <w:pPr>
        <w:spacing w:after="40" w:before="0"/>
      </w:pPr>
      <w:r>
        <w:rPr>
          <w:rFonts w:ascii="Segoe UI" w:hAnsi="Segoe UI"/>
          <w:b/>
          <w:i w:val="0"/>
          <w:color w:val="1F6F4A"/>
          <w:sz w:val="17"/>
        </w:rPr>
        <w:t>TASKS &amp; WORKFLOW</w:t>
      </w:r>
    </w:p>
    <w:p>
      <w:pPr>
        <w:spacing w:after="80" w:before="0"/>
      </w:pPr>
      <w:r>
        <w:rPr>
          <w:rFonts w:ascii="Segoe UI" w:hAnsi="Segoe UI"/>
          <w:b/>
          <w:color w:val="0F172A"/>
          <w:sz w:val="44"/>
        </w:rPr>
        <w:t>A lifecycle with one owner at every step</w:t>
      </w:r>
    </w:p>
    <w:p>
      <w:pPr>
        <w:spacing w:before="40" w:after="160"/>
        <w:pBdr>
          <w:bottom w:val="single" w:sz="18" w:space="1" w:color="1F6F4A"/>
        </w:pBdr>
      </w:pPr>
    </w:p>
    <w:p>
      <w:pPr>
        <w:spacing w:after="120" w:before="0"/>
      </w:pPr>
      <w:r>
        <w:rPr>
          <w:rFonts w:ascii="Segoe UI" w:hAnsi="Segoe UI"/>
          <w:b w:val="0"/>
          <w:i w:val="0"/>
          <w:color w:val="334155"/>
          <w:sz w:val="22"/>
        </w:rPr>
        <w:t>Work moves through six accountable stages and cannot skip one. Checklist or GPS gates block completion until the evidence is complete, and the verifier can never be the person who executed the task.</w:t>
      </w:r>
    </w:p>
    <w:p>
      <w:pPr>
        <w:spacing w:after="40"/>
        <w:jc w:val="center"/>
      </w:pPr>
      <w:r>
        <w:drawing>
          <wp:inline xmlns:a="http://schemas.openxmlformats.org/drawingml/2006/main" xmlns:pic="http://schemas.openxmlformats.org/drawingml/2006/picture">
            <wp:extent cx="6480000" cy="3542400"/>
            <wp:docPr id="12" name="Picture 12"/>
            <wp:cNvGraphicFramePr>
              <a:graphicFrameLocks noChangeAspect="1"/>
            </wp:cNvGraphicFramePr>
            <a:graphic>
              <a:graphicData uri="http://schemas.openxmlformats.org/drawingml/2006/picture">
                <pic:pic>
                  <pic:nvPicPr>
                    <pic:cNvPr id="0" name="diagram-lifecycle.png"/>
                    <pic:cNvPicPr/>
                  </pic:nvPicPr>
                  <pic:blipFill>
                    <a:blip r:embed="rId19"/>
                    <a:stretch>
                      <a:fillRect/>
                    </a:stretch>
                  </pic:blipFill>
                  <pic:spPr>
                    <a:xfrm>
                      <a:off x="0" y="0"/>
                      <a:ext cx="6480000" cy="3542400"/>
                    </a:xfrm>
                    <a:prstGeom prst="rect"/>
                  </pic:spPr>
                </pic:pic>
              </a:graphicData>
            </a:graphic>
          </wp:inline>
        </w:drawing>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961"/>
          </w:tcPr>
          <w:p>
            <w:pPr>
              <w:spacing w:after="40"/>
              <w:jc w:val="center"/>
            </w:pPr>
            <w:r>
              <w:drawing>
                <wp:inline xmlns:a="http://schemas.openxmlformats.org/drawingml/2006/main" xmlns:pic="http://schemas.openxmlformats.org/drawingml/2006/picture">
                  <wp:extent cx="3078000" cy="1923750"/>
                  <wp:docPr id="13" name="Picture 13"/>
                  <wp:cNvGraphicFramePr>
                    <a:graphicFrameLocks noChangeAspect="1"/>
                  </wp:cNvGraphicFramePr>
                  <a:graphic>
                    <a:graphicData uri="http://schemas.openxmlformats.org/drawingml/2006/picture">
                      <pic:pic>
                        <pic:nvPicPr>
                          <pic:cNvPr id="0" name="08-tasks.png"/>
                          <pic:cNvPicPr/>
                        </pic:nvPicPr>
                        <pic:blipFill>
                          <a:blip r:embed="rId20"/>
                          <a:stretch>
                            <a:fillRect/>
                          </a:stretch>
                        </pic:blipFill>
                        <pic:spPr>
                          <a:xfrm>
                            <a:off x="0" y="0"/>
                            <a:ext cx="3078000" cy="1923750"/>
                          </a:xfrm>
                          <a:prstGeom prst="rect"/>
                        </pic:spPr>
                      </pic:pic>
                    </a:graphicData>
                  </a:graphic>
                </wp:inline>
              </w:drawing>
            </w:r>
          </w:p>
        </w:tc>
        <w:tc>
          <w:tcPr>
            <w:tcW w:type="dxa" w:w="4961"/>
          </w:tcPr>
          <w:p>
            <w:pPr>
              <w:spacing w:after="40"/>
              <w:jc w:val="center"/>
            </w:pPr>
            <w:r>
              <w:drawing>
                <wp:inline xmlns:a="http://schemas.openxmlformats.org/drawingml/2006/main" xmlns:pic="http://schemas.openxmlformats.org/drawingml/2006/picture">
                  <wp:extent cx="3078000" cy="1923750"/>
                  <wp:docPr id="14" name="Picture 14"/>
                  <wp:cNvGraphicFramePr>
                    <a:graphicFrameLocks noChangeAspect="1"/>
                  </wp:cNvGraphicFramePr>
                  <a:graphic>
                    <a:graphicData uri="http://schemas.openxmlformats.org/drawingml/2006/picture">
                      <pic:pic>
                        <pic:nvPicPr>
                          <pic:cNvPr id="0" name="25-task-checklist.png"/>
                          <pic:cNvPicPr/>
                        </pic:nvPicPr>
                        <pic:blipFill>
                          <a:blip r:embed="rId21"/>
                          <a:stretch>
                            <a:fillRect/>
                          </a:stretch>
                        </pic:blipFill>
                        <pic:spPr>
                          <a:xfrm>
                            <a:off x="0" y="0"/>
                            <a:ext cx="3078000" cy="1923750"/>
                          </a:xfrm>
                          <a:prstGeom prst="rect"/>
                        </pic:spPr>
                      </pic:pic>
                    </a:graphicData>
                  </a:graphic>
                </wp:inline>
              </w:drawing>
            </w:r>
          </w:p>
        </w:tc>
      </w:tr>
      <w:tr>
        <w:tc>
          <w:tcPr>
            <w:tcW w:type="dxa" w:w="4961"/>
          </w:tcPr>
          <w:p>
            <w:pPr>
              <w:spacing w:after="120"/>
              <w:jc w:val="center"/>
            </w:pPr>
            <w:r>
              <w:rPr>
                <w:i/>
                <w:color w:val="5B6B7C"/>
                <w:sz w:val="15"/>
              </w:rPr>
              <w:t>Task list — full list with filtering and bulk work.</w:t>
            </w:r>
          </w:p>
        </w:tc>
        <w:tc>
          <w:tcPr>
            <w:tcW w:type="dxa" w:w="4961"/>
          </w:tcPr>
          <w:p>
            <w:pPr>
              <w:spacing w:after="120"/>
              <w:jc w:val="center"/>
            </w:pPr>
            <w:r>
              <w:rPr>
                <w:i/>
                <w:color w:val="5B6B7C"/>
                <w:sz w:val="15"/>
              </w:rPr>
              <w:t>Task evidence — checklist executions, photos, signature and document.</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02"/>
        <w:gridCol w:w="3402"/>
        <w:gridCol w:w="3402"/>
      </w:tblGrid>
      <w:tr>
        <w:tc>
          <w:tcPr>
            <w:tcW w:type="dxa" w:w="3213"/>
          </w:tcPr>
          <w:p>
            <w:pPr>
              <w:spacing w:after="40"/>
            </w:pPr>
            <w:r>
              <w:rPr>
                <w:b/>
                <w:color w:val="0F172A"/>
                <w:sz w:val="20"/>
              </w:rPr>
              <w:t>Emergency path</w:t>
            </w:r>
          </w:p>
          <w:p>
            <w:pPr>
              <w:spacing w:after="40"/>
            </w:pPr>
            <w:r>
              <w:rPr>
                <w:color w:val="334155"/>
                <w:sz w:val="17"/>
              </w:rPr>
              <w:t>A task can be raised straight to ASSIGNED, skipping draft and calendar.</w:t>
            </w:r>
          </w:p>
        </w:tc>
        <w:tc>
          <w:tcPr>
            <w:tcW w:type="dxa" w:w="3213"/>
          </w:tcPr>
          <w:p>
            <w:pPr>
              <w:spacing w:after="40"/>
            </w:pPr>
            <w:r>
              <w:rPr>
                <w:b/>
                <w:color w:val="0F172A"/>
                <w:sz w:val="20"/>
              </w:rPr>
              <w:t>Follow-up work</w:t>
            </w:r>
          </w:p>
          <w:p>
            <w:pPr>
              <w:spacing w:after="40"/>
            </w:pPr>
            <w:r>
              <w:rPr>
                <w:color w:val="334155"/>
                <w:sz w:val="17"/>
              </w:rPr>
              <w:t>Failed evidence auto-suggests corrective or emergency follow-ups.</w:t>
            </w:r>
          </w:p>
        </w:tc>
        <w:tc>
          <w:tcPr>
            <w:tcW w:type="dxa" w:w="3213"/>
          </w:tcPr>
          <w:p>
            <w:pPr>
              <w:spacing w:after="40"/>
            </w:pPr>
            <w:r>
              <w:rPr>
                <w:b/>
                <w:color w:val="0F172A"/>
                <w:sz w:val="20"/>
              </w:rPr>
              <w:t>Dispatch eligibility</w:t>
            </w:r>
          </w:p>
          <w:p>
            <w:pPr>
              <w:spacing w:after="40"/>
            </w:pPr>
            <w:r>
              <w:rPr>
                <w:color w:val="334155"/>
                <w:sz w:val="17"/>
              </w:rPr>
              <w:t>Skills and certifications are checked before a crew is assigned.</w:t>
            </w:r>
          </w:p>
        </w:tc>
      </w:tr>
    </w:tbl>
    <w:p>
      <w:pPr>
        <w:spacing w:after="0"/>
      </w:pPr>
      <w:r>
        <w:br w:type="page"/>
      </w:r>
    </w:p>
    <w:p>
      <w:pPr>
        <w:spacing w:after="40" w:before="0"/>
      </w:pPr>
      <w:r>
        <w:rPr>
          <w:rFonts w:ascii="Segoe UI" w:hAnsi="Segoe UI"/>
          <w:b/>
          <w:i w:val="0"/>
          <w:color w:val="1F6F4A"/>
          <w:sz w:val="17"/>
        </w:rPr>
        <w:t>FIELD OPERATIONS</w:t>
      </w:r>
    </w:p>
    <w:p>
      <w:pPr>
        <w:spacing w:after="80" w:before="0"/>
      </w:pPr>
      <w:r>
        <w:rPr>
          <w:rFonts w:ascii="Segoe UI" w:hAnsi="Segoe UI"/>
          <w:b/>
          <w:color w:val="0F172A"/>
          <w:sz w:val="44"/>
        </w:rPr>
        <w:t>Crews, schedules, checklists and certifications</w:t>
      </w:r>
    </w:p>
    <w:p>
      <w:pPr>
        <w:spacing w:before="40" w:after="160"/>
        <w:pBdr>
          <w:bottom w:val="single" w:sz="18" w:space="1" w:color="1F6F4A"/>
        </w:pBdr>
      </w:pPr>
    </w:p>
    <w:p>
      <w:pPr>
        <w:spacing w:after="120" w:before="0"/>
      </w:pPr>
      <w:r>
        <w:rPr>
          <w:rFonts w:ascii="Segoe UI" w:hAnsi="Segoe UI"/>
          <w:b w:val="0"/>
          <w:i w:val="0"/>
          <w:color w:val="334155"/>
          <w:sz w:val="22"/>
        </w:rPr>
        <w:t>Recurring maintenance is planned once and generated automatically. Crews execute standardised checklists step by step, and the platform knows who holds which qualification and when it expires.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961"/>
          </w:tcPr>
          <w:p>
            <w:pPr>
              <w:spacing w:after="40"/>
              <w:jc w:val="center"/>
            </w:pPr>
            <w:r>
              <w:drawing>
                <wp:inline xmlns:a="http://schemas.openxmlformats.org/drawingml/2006/main" xmlns:pic="http://schemas.openxmlformats.org/drawingml/2006/picture">
                  <wp:extent cx="3078000" cy="1923750"/>
                  <wp:docPr id="15" name="Picture 15"/>
                  <wp:cNvGraphicFramePr>
                    <a:graphicFrameLocks noChangeAspect="1"/>
                  </wp:cNvGraphicFramePr>
                  <a:graphic>
                    <a:graphicData uri="http://schemas.openxmlformats.org/drawingml/2006/picture">
                      <pic:pic>
                        <pic:nvPicPr>
                          <pic:cNvPr id="0" name="09-crews.png"/>
                          <pic:cNvPicPr/>
                        </pic:nvPicPr>
                        <pic:blipFill>
                          <a:blip r:embed="rId22"/>
                          <a:stretch>
                            <a:fillRect/>
                          </a:stretch>
                        </pic:blipFill>
                        <pic:spPr>
                          <a:xfrm>
                            <a:off x="0" y="0"/>
                            <a:ext cx="3078000" cy="1923750"/>
                          </a:xfrm>
                          <a:prstGeom prst="rect"/>
                        </pic:spPr>
                      </pic:pic>
                    </a:graphicData>
                  </a:graphic>
                </wp:inline>
              </w:drawing>
            </w:r>
          </w:p>
        </w:tc>
        <w:tc>
          <w:tcPr>
            <w:tcW w:type="dxa" w:w="4961"/>
          </w:tcPr>
          <w:p>
            <w:pPr>
              <w:spacing w:after="40"/>
              <w:jc w:val="center"/>
            </w:pPr>
            <w:r>
              <w:drawing>
                <wp:inline xmlns:a="http://schemas.openxmlformats.org/drawingml/2006/main" xmlns:pic="http://schemas.openxmlformats.org/drawingml/2006/picture">
                  <wp:extent cx="3078000" cy="1923750"/>
                  <wp:docPr id="16" name="Picture 16"/>
                  <wp:cNvGraphicFramePr>
                    <a:graphicFrameLocks noChangeAspect="1"/>
                  </wp:cNvGraphicFramePr>
                  <a:graphic>
                    <a:graphicData uri="http://schemas.openxmlformats.org/drawingml/2006/picture">
                      <pic:pic>
                        <pic:nvPicPr>
                          <pic:cNvPr id="0" name="10-schedules.png"/>
                          <pic:cNvPicPr/>
                        </pic:nvPicPr>
                        <pic:blipFill>
                          <a:blip r:embed="rId23"/>
                          <a:stretch>
                            <a:fillRect/>
                          </a:stretch>
                        </pic:blipFill>
                        <pic:spPr>
                          <a:xfrm>
                            <a:off x="0" y="0"/>
                            <a:ext cx="3078000" cy="1923750"/>
                          </a:xfrm>
                          <a:prstGeom prst="rect"/>
                        </pic:spPr>
                      </pic:pic>
                    </a:graphicData>
                  </a:graphic>
                </wp:inline>
              </w:drawing>
            </w:r>
          </w:p>
        </w:tc>
      </w:tr>
      <w:tr>
        <w:tc>
          <w:tcPr>
            <w:tcW w:type="dxa" w:w="4961"/>
          </w:tcPr>
          <w:p>
            <w:pPr>
              <w:spacing w:after="120"/>
              <w:jc w:val="center"/>
            </w:pPr>
            <w:r>
              <w:rPr>
                <w:i/>
                <w:color w:val="5B6B7C"/>
                <w:sz w:val="15"/>
              </w:rPr>
              <w:t>Crews — members, skills and certifications.</w:t>
            </w:r>
          </w:p>
        </w:tc>
        <w:tc>
          <w:tcPr>
            <w:tcW w:type="dxa" w:w="4961"/>
          </w:tcPr>
          <w:p>
            <w:pPr>
              <w:spacing w:after="120"/>
              <w:jc w:val="center"/>
            </w:pPr>
            <w:r>
              <w:rPr>
                <w:i/>
                <w:color w:val="5B6B7C"/>
                <w:sz w:val="15"/>
              </w:rPr>
              <w:t>Schedules — recurrence rules and generation.</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961"/>
          </w:tcPr>
          <w:p>
            <w:pPr>
              <w:spacing w:after="40"/>
              <w:jc w:val="center"/>
            </w:pPr>
            <w:r>
              <w:drawing>
                <wp:inline xmlns:a="http://schemas.openxmlformats.org/drawingml/2006/main" xmlns:pic="http://schemas.openxmlformats.org/drawingml/2006/picture">
                  <wp:extent cx="3078000" cy="1923750"/>
                  <wp:docPr id="17" name="Picture 17"/>
                  <wp:cNvGraphicFramePr>
                    <a:graphicFrameLocks noChangeAspect="1"/>
                  </wp:cNvGraphicFramePr>
                  <a:graphic>
                    <a:graphicData uri="http://schemas.openxmlformats.org/drawingml/2006/picture">
                      <pic:pic>
                        <pic:nvPicPr>
                          <pic:cNvPr id="0" name="11-checklists.png"/>
                          <pic:cNvPicPr/>
                        </pic:nvPicPr>
                        <pic:blipFill>
                          <a:blip r:embed="rId24"/>
                          <a:stretch>
                            <a:fillRect/>
                          </a:stretch>
                        </pic:blipFill>
                        <pic:spPr>
                          <a:xfrm>
                            <a:off x="0" y="0"/>
                            <a:ext cx="3078000" cy="1923750"/>
                          </a:xfrm>
                          <a:prstGeom prst="rect"/>
                        </pic:spPr>
                      </pic:pic>
                    </a:graphicData>
                  </a:graphic>
                </wp:inline>
              </w:drawing>
            </w:r>
          </w:p>
        </w:tc>
        <w:tc>
          <w:tcPr>
            <w:tcW w:type="dxa" w:w="4961"/>
          </w:tcPr>
          <w:p>
            <w:pPr>
              <w:spacing w:after="40"/>
              <w:jc w:val="center"/>
            </w:pPr>
            <w:r>
              <w:drawing>
                <wp:inline xmlns:a="http://schemas.openxmlformats.org/drawingml/2006/main" xmlns:pic="http://schemas.openxmlformats.org/drawingml/2006/picture">
                  <wp:extent cx="3078000" cy="1923750"/>
                  <wp:docPr id="18" name="Picture 18"/>
                  <wp:cNvGraphicFramePr>
                    <a:graphicFrameLocks noChangeAspect="1"/>
                  </wp:cNvGraphicFramePr>
                  <a:graphic>
                    <a:graphicData uri="http://schemas.openxmlformats.org/drawingml/2006/picture">
                      <pic:pic>
                        <pic:nvPicPr>
                          <pic:cNvPr id="0" name="12-certifications.png"/>
                          <pic:cNvPicPr/>
                        </pic:nvPicPr>
                        <pic:blipFill>
                          <a:blip r:embed="rId25"/>
                          <a:stretch>
                            <a:fillRect/>
                          </a:stretch>
                        </pic:blipFill>
                        <pic:spPr>
                          <a:xfrm>
                            <a:off x="0" y="0"/>
                            <a:ext cx="3078000" cy="1923750"/>
                          </a:xfrm>
                          <a:prstGeom prst="rect"/>
                        </pic:spPr>
                      </pic:pic>
                    </a:graphicData>
                  </a:graphic>
                </wp:inline>
              </w:drawing>
            </w:r>
          </w:p>
        </w:tc>
      </w:tr>
      <w:tr>
        <w:tc>
          <w:tcPr>
            <w:tcW w:type="dxa" w:w="4961"/>
          </w:tcPr>
          <w:p>
            <w:pPr>
              <w:spacing w:after="120"/>
              <w:jc w:val="center"/>
            </w:pPr>
            <w:r>
              <w:rPr>
                <w:i/>
                <w:color w:val="5B6B7C"/>
                <w:sz w:val="15"/>
              </w:rPr>
              <w:t>Checklists — templates and step-by-step execution.</w:t>
            </w:r>
          </w:p>
        </w:tc>
        <w:tc>
          <w:tcPr>
            <w:tcW w:type="dxa" w:w="4961"/>
          </w:tcPr>
          <w:p>
            <w:pPr>
              <w:spacing w:after="120"/>
              <w:jc w:val="center"/>
            </w:pPr>
            <w:r>
              <w:rPr>
                <w:i/>
                <w:color w:val="5B6B7C"/>
                <w:sz w:val="15"/>
              </w:rPr>
              <w:t>Certifications — qualification and expiry tracking.</w:t>
            </w:r>
          </w:p>
        </w:tc>
      </w:tr>
    </w:tbl>
    <w:p>
      <w:pPr>
        <w:spacing w:after="0"/>
      </w:pPr>
      <w:r>
        <w:br w:type="page"/>
      </w:r>
    </w:p>
    <w:p>
      <w:pPr>
        <w:spacing w:after="40" w:before="0"/>
      </w:pPr>
      <w:r>
        <w:rPr>
          <w:rFonts w:ascii="Segoe UI" w:hAnsi="Segoe UI"/>
          <w:b/>
          <w:i w:val="0"/>
          <w:color w:val="1F6F4A"/>
          <w:sz w:val="17"/>
        </w:rPr>
        <w:t>COMMUNICATION &amp; EVIDENCE</w:t>
      </w:r>
    </w:p>
    <w:p>
      <w:pPr>
        <w:spacing w:after="80" w:before="0"/>
      </w:pPr>
      <w:r>
        <w:rPr>
          <w:rFonts w:ascii="Segoe UI" w:hAnsi="Segoe UI"/>
          <w:b/>
          <w:color w:val="0F172A"/>
          <w:sz w:val="44"/>
        </w:rPr>
        <w:t>Every task update, message and report in one inbox</w:t>
      </w:r>
    </w:p>
    <w:p>
      <w:pPr>
        <w:spacing w:before="40" w:after="160"/>
        <w:pBdr>
          <w:bottom w:val="single" w:sz="18" w:space="1" w:color="1F6F4A"/>
        </w:pBdr>
      </w:pPr>
    </w:p>
    <w:p>
      <w:pPr>
        <w:spacing w:after="120" w:before="0"/>
      </w:pPr>
      <w:r>
        <w:rPr>
          <w:rFonts w:ascii="Segoe UI" w:hAnsi="Segoe UI"/>
          <w:b w:val="0"/>
          <w:i w:val="0"/>
          <w:color w:val="334155"/>
          <w:sz w:val="22"/>
        </w:rPr>
        <w:t>The mailbox is the collaboration spine of the operation: task updates, direct messages and generated reports arrive as a single, searchable activity stream, with folders, labels and saved searches.</w:t>
      </w:r>
    </w:p>
    <w:p>
      <w:pPr>
        <w:spacing w:after="40"/>
        <w:jc w:val="center"/>
      </w:pPr>
      <w:r>
        <w:drawing>
          <wp:inline xmlns:a="http://schemas.openxmlformats.org/drawingml/2006/main" xmlns:pic="http://schemas.openxmlformats.org/drawingml/2006/picture">
            <wp:extent cx="6480000" cy="4050000"/>
            <wp:docPr id="19" name="Picture 19"/>
            <wp:cNvGraphicFramePr>
              <a:graphicFrameLocks noChangeAspect="1"/>
            </wp:cNvGraphicFramePr>
            <a:graphic>
              <a:graphicData uri="http://schemas.openxmlformats.org/drawingml/2006/picture">
                <pic:pic>
                  <pic:nvPicPr>
                    <pic:cNvPr id="0" name="13-mailbox.png"/>
                    <pic:cNvPicPr/>
                  </pic:nvPicPr>
                  <pic:blipFill>
                    <a:blip r:embed="rId26"/>
                    <a:stretch>
                      <a:fillRect/>
                    </a:stretch>
                  </pic:blipFill>
                  <pic:spPr>
                    <a:xfrm>
                      <a:off x="0" y="0"/>
                      <a:ext cx="6480000" cy="4050000"/>
                    </a:xfrm>
                    <a:prstGeom prst="rect"/>
                  </pic:spPr>
                </pic:pic>
              </a:graphicData>
            </a:graphic>
          </wp:inline>
        </w:drawing>
      </w:r>
    </w:p>
    <w:p>
      <w:pPr>
        <w:spacing w:after="160" w:before="0"/>
        <w:jc w:val="center"/>
      </w:pPr>
      <w:r>
        <w:rPr>
          <w:rFonts w:ascii="Segoe UI" w:hAnsi="Segoe UI"/>
          <w:b w:val="0"/>
          <w:i/>
          <w:color w:val="5B6B7C"/>
          <w:sz w:val="15"/>
        </w:rPr>
        <w:t>Task mailbox — 623 activity records across folders, labels and saved searches.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961"/>
          </w:tcPr>
          <w:p>
            <w:pPr>
              <w:spacing w:after="40"/>
              <w:jc w:val="center"/>
            </w:pPr>
            <w:r>
              <w:drawing>
                <wp:inline xmlns:a="http://schemas.openxmlformats.org/drawingml/2006/main" xmlns:pic="http://schemas.openxmlformats.org/drawingml/2006/picture">
                  <wp:extent cx="3078000" cy="1923750"/>
                  <wp:docPr id="20" name="Picture 20"/>
                  <wp:cNvGraphicFramePr>
                    <a:graphicFrameLocks noChangeAspect="1"/>
                  </wp:cNvGraphicFramePr>
                  <a:graphic>
                    <a:graphicData uri="http://schemas.openxmlformats.org/drawingml/2006/picture">
                      <pic:pic>
                        <pic:nvPicPr>
                          <pic:cNvPr id="0" name="14-reports.png"/>
                          <pic:cNvPicPr/>
                        </pic:nvPicPr>
                        <pic:blipFill>
                          <a:blip r:embed="rId27"/>
                          <a:stretch>
                            <a:fillRect/>
                          </a:stretch>
                        </pic:blipFill>
                        <pic:spPr>
                          <a:xfrm>
                            <a:off x="0" y="0"/>
                            <a:ext cx="3078000" cy="1923750"/>
                          </a:xfrm>
                          <a:prstGeom prst="rect"/>
                        </pic:spPr>
                      </pic:pic>
                    </a:graphicData>
                  </a:graphic>
                </wp:inline>
              </w:drawing>
            </w:r>
          </w:p>
        </w:tc>
        <w:tc>
          <w:tcPr>
            <w:tcW w:type="dxa" w:w="4961"/>
          </w:tcPr>
          <w:p>
            <w:pPr>
              <w:spacing w:after="40"/>
              <w:jc w:val="center"/>
            </w:pPr>
            <w:r>
              <w:drawing>
                <wp:inline xmlns:a="http://schemas.openxmlformats.org/drawingml/2006/main" xmlns:pic="http://schemas.openxmlformats.org/drawingml/2006/picture">
                  <wp:extent cx="3078000" cy="1923750"/>
                  <wp:docPr id="21" name="Picture 21"/>
                  <wp:cNvGraphicFramePr>
                    <a:graphicFrameLocks noChangeAspect="1"/>
                  </wp:cNvGraphicFramePr>
                  <a:graphic>
                    <a:graphicData uri="http://schemas.openxmlformats.org/drawingml/2006/picture">
                      <pic:pic>
                        <pic:nvPicPr>
                          <pic:cNvPr id="0" name="16-admin.png"/>
                          <pic:cNvPicPr/>
                        </pic:nvPicPr>
                        <pic:blipFill>
                          <a:blip r:embed="rId28"/>
                          <a:stretch>
                            <a:fillRect/>
                          </a:stretch>
                        </pic:blipFill>
                        <pic:spPr>
                          <a:xfrm>
                            <a:off x="0" y="0"/>
                            <a:ext cx="3078000" cy="1923750"/>
                          </a:xfrm>
                          <a:prstGeom prst="rect"/>
                        </pic:spPr>
                      </pic:pic>
                    </a:graphicData>
                  </a:graphic>
                </wp:inline>
              </w:drawing>
            </w:r>
          </w:p>
        </w:tc>
      </w:tr>
      <w:tr>
        <w:tc>
          <w:tcPr>
            <w:tcW w:type="dxa" w:w="4961"/>
          </w:tcPr>
          <w:p>
            <w:pPr>
              <w:spacing w:after="120"/>
              <w:jc w:val="center"/>
            </w:pPr>
            <w:r>
              <w:rPr>
                <w:i/>
                <w:color w:val="5B6B7C"/>
                <w:sz w:val="15"/>
              </w:rPr>
              <w:t>Reports — operational and compliance outputs.</w:t>
            </w:r>
          </w:p>
        </w:tc>
        <w:tc>
          <w:tcPr>
            <w:tcW w:type="dxa" w:w="4961"/>
          </w:tcPr>
          <w:p>
            <w:pPr>
              <w:spacing w:after="120"/>
              <w:jc w:val="center"/>
            </w:pPr>
            <w:r>
              <w:rPr>
                <w:i/>
                <w:color w:val="5B6B7C"/>
                <w:sz w:val="15"/>
              </w:rPr>
              <w:t>Administration — reports, users and governance.</w:t>
            </w:r>
          </w:p>
        </w:tc>
      </w:tr>
    </w:tbl>
    <w:p>
      <w:pPr>
        <w:spacing w:after="0"/>
      </w:pPr>
      <w:r>
        <w:br w:type="page"/>
      </w:r>
    </w:p>
    <w:p>
      <w:pPr>
        <w:spacing w:after="40" w:before="0"/>
      </w:pPr>
      <w:r>
        <w:rPr>
          <w:rFonts w:ascii="Segoe UI" w:hAnsi="Segoe UI"/>
          <w:b/>
          <w:i w:val="0"/>
          <w:color w:val="1F6F4A"/>
          <w:sz w:val="17"/>
        </w:rPr>
        <w:t>OVERSIGHT</w:t>
      </w:r>
    </w:p>
    <w:p>
      <w:pPr>
        <w:spacing w:after="80" w:before="0"/>
      </w:pPr>
      <w:r>
        <w:rPr>
          <w:rFonts w:ascii="Segoe UI" w:hAnsi="Segoe UI"/>
          <w:b/>
          <w:color w:val="0F172A"/>
          <w:sz w:val="44"/>
        </w:rPr>
        <w:t>Executive clarity, organisational discipline</w:t>
      </w:r>
    </w:p>
    <w:p>
      <w:pPr>
        <w:spacing w:before="40" w:after="160"/>
        <w:pBdr>
          <w:bottom w:val="single" w:sz="18" w:space="1" w:color="1F6F4A"/>
        </w:pBdr>
      </w:pPr>
    </w:p>
    <w:p>
      <w:pPr>
        <w:spacing w:after="120" w:before="0"/>
      </w:pPr>
      <w:r>
        <w:rPr>
          <w:rFonts w:ascii="Segoe UI" w:hAnsi="Segoe UI"/>
          <w:b w:val="0"/>
          <w:i w:val="0"/>
          <w:color w:val="334155"/>
          <w:sz w:val="22"/>
        </w:rPr>
        <w:t>An executive summary distils critical overdue work, GPS violations, expiring certifications and cost into a single board-ready view. The organisation model keeps each unit's function and the role that heads it explicit — so authority is never ambiguous.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961"/>
          </w:tcPr>
          <w:p>
            <w:pPr>
              <w:spacing w:after="40"/>
              <w:jc w:val="center"/>
            </w:pPr>
            <w:r>
              <w:drawing>
                <wp:inline xmlns:a="http://schemas.openxmlformats.org/drawingml/2006/main" xmlns:pic="http://schemas.openxmlformats.org/drawingml/2006/picture">
                  <wp:extent cx="3078000" cy="1923750"/>
                  <wp:docPr id="22" name="Picture 22"/>
                  <wp:cNvGraphicFramePr>
                    <a:graphicFrameLocks noChangeAspect="1"/>
                  </wp:cNvGraphicFramePr>
                  <a:graphic>
                    <a:graphicData uri="http://schemas.openxmlformats.org/drawingml/2006/picture">
                      <pic:pic>
                        <pic:nvPicPr>
                          <pic:cNvPr id="0" name="05-executive.png"/>
                          <pic:cNvPicPr/>
                        </pic:nvPicPr>
                        <pic:blipFill>
                          <a:blip r:embed="rId29"/>
                          <a:stretch>
                            <a:fillRect/>
                          </a:stretch>
                        </pic:blipFill>
                        <pic:spPr>
                          <a:xfrm>
                            <a:off x="0" y="0"/>
                            <a:ext cx="3078000" cy="1923750"/>
                          </a:xfrm>
                          <a:prstGeom prst="rect"/>
                        </pic:spPr>
                      </pic:pic>
                    </a:graphicData>
                  </a:graphic>
                </wp:inline>
              </w:drawing>
            </w:r>
          </w:p>
        </w:tc>
        <w:tc>
          <w:tcPr>
            <w:tcW w:type="dxa" w:w="4961"/>
          </w:tcPr>
          <w:p>
            <w:pPr>
              <w:spacing w:after="40"/>
              <w:jc w:val="center"/>
            </w:pPr>
            <w:r>
              <w:drawing>
                <wp:inline xmlns:a="http://schemas.openxmlformats.org/drawingml/2006/main" xmlns:pic="http://schemas.openxmlformats.org/drawingml/2006/picture">
                  <wp:extent cx="3078000" cy="1923750"/>
                  <wp:docPr id="23" name="Picture 23"/>
                  <wp:cNvGraphicFramePr>
                    <a:graphicFrameLocks noChangeAspect="1"/>
                  </wp:cNvGraphicFramePr>
                  <a:graphic>
                    <a:graphicData uri="http://schemas.openxmlformats.org/drawingml/2006/picture">
                      <pic:pic>
                        <pic:nvPicPr>
                          <pic:cNvPr id="0" name="22-executive-dark.png"/>
                          <pic:cNvPicPr/>
                        </pic:nvPicPr>
                        <pic:blipFill>
                          <a:blip r:embed="rId30"/>
                          <a:stretch>
                            <a:fillRect/>
                          </a:stretch>
                        </pic:blipFill>
                        <pic:spPr>
                          <a:xfrm>
                            <a:off x="0" y="0"/>
                            <a:ext cx="3078000" cy="1923750"/>
                          </a:xfrm>
                          <a:prstGeom prst="rect"/>
                        </pic:spPr>
                      </pic:pic>
                    </a:graphicData>
                  </a:graphic>
                </wp:inline>
              </w:drawing>
            </w:r>
          </w:p>
        </w:tc>
      </w:tr>
      <w:tr>
        <w:tc>
          <w:tcPr>
            <w:tcW w:type="dxa" w:w="4961"/>
          </w:tcPr>
          <w:p>
            <w:pPr>
              <w:spacing w:after="120"/>
              <w:jc w:val="center"/>
            </w:pPr>
            <w:r>
              <w:rPr>
                <w:i/>
                <w:color w:val="5B6B7C"/>
                <w:sz w:val="15"/>
              </w:rPr>
              <w:t>Executive summary — risks, compliance and value.</w:t>
            </w:r>
          </w:p>
        </w:tc>
        <w:tc>
          <w:tcPr>
            <w:tcW w:type="dxa" w:w="4961"/>
          </w:tcPr>
          <w:p>
            <w:pPr>
              <w:spacing w:after="120"/>
              <w:jc w:val="center"/>
            </w:pPr>
            <w:r>
              <w:rPr>
                <w:i/>
                <w:color w:val="5B6B7C"/>
                <w:sz w:val="15"/>
              </w:rPr>
              <w:t>Dark theme for control-room and after-hours review.</w:t>
            </w:r>
          </w:p>
        </w:tc>
      </w:tr>
    </w:tbl>
    <w:p>
      <w:pPr>
        <w:spacing w:after="40"/>
        <w:jc w:val="center"/>
      </w:pPr>
      <w:r>
        <w:drawing>
          <wp:inline xmlns:a="http://schemas.openxmlformats.org/drawingml/2006/main" xmlns:pic="http://schemas.openxmlformats.org/drawingml/2006/picture">
            <wp:extent cx="6480000" cy="3888000"/>
            <wp:docPr id="24" name="Picture 24"/>
            <wp:cNvGraphicFramePr>
              <a:graphicFrameLocks noChangeAspect="1"/>
            </wp:cNvGraphicFramePr>
            <a:graphic>
              <a:graphicData uri="http://schemas.openxmlformats.org/drawingml/2006/picture">
                <pic:pic>
                  <pic:nvPicPr>
                    <pic:cNvPr id="0" name="diagram-roles.png"/>
                    <pic:cNvPicPr/>
                  </pic:nvPicPr>
                  <pic:blipFill>
                    <a:blip r:embed="rId31"/>
                    <a:stretch>
                      <a:fillRect/>
                    </a:stretch>
                  </pic:blipFill>
                  <pic:spPr>
                    <a:xfrm>
                      <a:off x="0" y="0"/>
                      <a:ext cx="6480000" cy="3888000"/>
                    </a:xfrm>
                    <a:prstGeom prst="rect"/>
                  </pic:spPr>
                </pic:pic>
              </a:graphicData>
            </a:graphic>
          </wp:inline>
        </w:drawing>
      </w:r>
    </w:p>
    <w:p>
      <w:pPr>
        <w:spacing w:after="0"/>
      </w:pPr>
      <w:r>
        <w:br w:type="page"/>
      </w:r>
    </w:p>
    <w:p>
      <w:pPr>
        <w:spacing w:after="40" w:before="0"/>
      </w:pPr>
      <w:r>
        <w:rPr>
          <w:rFonts w:ascii="Segoe UI" w:hAnsi="Segoe UI"/>
          <w:b/>
          <w:i w:val="0"/>
          <w:color w:val="1F6F4A"/>
          <w:sz w:val="17"/>
        </w:rPr>
        <w:t>UNDER THE HOOD</w:t>
      </w:r>
    </w:p>
    <w:p>
      <w:pPr>
        <w:spacing w:after="80" w:before="0"/>
      </w:pPr>
      <w:r>
        <w:rPr>
          <w:rFonts w:ascii="Segoe UI" w:hAnsi="Segoe UI"/>
          <w:b/>
          <w:color w:val="0F172A"/>
          <w:sz w:val="44"/>
        </w:rPr>
        <w:t>Modern, secure and built to stay consistent</w:t>
      </w:r>
    </w:p>
    <w:p>
      <w:pPr>
        <w:spacing w:before="40" w:after="160"/>
        <w:pBdr>
          <w:bottom w:val="single" w:sz="18" w:space="1" w:color="1F6F4A"/>
        </w:pBdr>
      </w:pPr>
    </w:p>
    <w:p>
      <w:pPr>
        <w:spacing w:after="120" w:before="0"/>
      </w:pPr>
      <w:r>
        <w:rPr>
          <w:rFonts w:ascii="Segoe UI" w:hAnsi="Segoe UI"/>
          <w:b w:val="0"/>
          <w:i w:val="0"/>
          <w:color w:val="334155"/>
          <w:sz w:val="22"/>
        </w:rPr>
        <w:t>A React single-page console talks to a role-scoped Node / Express API over one authoritative SQLite datastore. Schema changes are idempotent, referential integrity is enforced, and every mutation is written to an audit log — with a redacted, size-capped request body.</w:t>
      </w:r>
    </w:p>
    <w:p>
      <w:pPr>
        <w:spacing w:after="40"/>
        <w:jc w:val="center"/>
      </w:pPr>
      <w:r>
        <w:drawing>
          <wp:inline xmlns:a="http://schemas.openxmlformats.org/drawingml/2006/main" xmlns:pic="http://schemas.openxmlformats.org/drawingml/2006/picture">
            <wp:extent cx="6480000" cy="4147200"/>
            <wp:docPr id="25" name="Picture 25"/>
            <wp:cNvGraphicFramePr>
              <a:graphicFrameLocks noChangeAspect="1"/>
            </wp:cNvGraphicFramePr>
            <a:graphic>
              <a:graphicData uri="http://schemas.openxmlformats.org/drawingml/2006/picture">
                <pic:pic>
                  <pic:nvPicPr>
                    <pic:cNvPr id="0" name="diagram-architecture.png"/>
                    <pic:cNvPicPr/>
                  </pic:nvPicPr>
                  <pic:blipFill>
                    <a:blip r:embed="rId32"/>
                    <a:stretch>
                      <a:fillRect/>
                    </a:stretch>
                  </pic:blipFill>
                  <pic:spPr>
                    <a:xfrm>
                      <a:off x="0" y="0"/>
                      <a:ext cx="6480000" cy="4147200"/>
                    </a:xfrm>
                    <a:prstGeom prst="rect"/>
                  </pic:spPr>
                </pic:pic>
              </a:graphicData>
            </a:graphic>
          </wp:inline>
        </w:drawing>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02"/>
        <w:gridCol w:w="3402"/>
        <w:gridCol w:w="3402"/>
      </w:tblGrid>
      <w:tr>
        <w:tc>
          <w:tcPr>
            <w:tcW w:type="dxa" w:w="3213"/>
            <w:shd w:val="clear" w:color="auto" w:fill="F1F8F3"/>
          </w:tcPr>
          <w:p>
            <w:pPr>
              <w:spacing w:after="40"/>
            </w:pPr>
            <w:r>
              <w:rPr>
                <w:b/>
                <w:color w:val="0F172A"/>
                <w:sz w:val="20"/>
              </w:rPr>
              <w:t>Role-scoped reads</w:t>
            </w:r>
          </w:p>
          <w:p>
            <w:pPr>
              <w:spacing w:after="40"/>
            </w:pPr>
            <w:r>
              <w:rPr>
                <w:color w:val="334155"/>
                <w:sz w:val="17"/>
              </w:rPr>
              <w:t>Queries are filtered by region and department, so a manager only ever sees its own domain.</w:t>
            </w:r>
          </w:p>
        </w:tc>
        <w:tc>
          <w:tcPr>
            <w:tcW w:type="dxa" w:w="3213"/>
            <w:shd w:val="clear" w:color="auto" w:fill="F1F8F3"/>
          </w:tcPr>
          <w:p>
            <w:pPr>
              <w:spacing w:after="40"/>
            </w:pPr>
            <w:r>
              <w:rPr>
                <w:b/>
                <w:color w:val="0F172A"/>
                <w:sz w:val="20"/>
              </w:rPr>
              <w:t>Referential integrity</w:t>
            </w:r>
          </w:p>
          <w:p>
            <w:pPr>
              <w:spacing w:after="40"/>
            </w:pPr>
            <w:r>
              <w:rPr>
                <w:color w:val="334155"/>
                <w:sz w:val="17"/>
              </w:rPr>
              <w:t>Cascades are transactional and leave foreign_key_check empty.</w:t>
            </w:r>
          </w:p>
        </w:tc>
        <w:tc>
          <w:tcPr>
            <w:tcW w:type="dxa" w:w="3213"/>
            <w:shd w:val="clear" w:color="auto" w:fill="F1F8F3"/>
          </w:tcPr>
          <w:p>
            <w:pPr>
              <w:spacing w:after="40"/>
            </w:pPr>
            <w:r>
              <w:rPr>
                <w:b/>
                <w:color w:val="0F172A"/>
                <w:sz w:val="20"/>
              </w:rPr>
              <w:t>Auditable by design</w:t>
            </w:r>
          </w:p>
          <w:p>
            <w:pPr>
              <w:spacing w:after="40"/>
            </w:pPr>
            <w:r>
              <w:rPr>
                <w:color w:val="334155"/>
                <w:sz w:val="17"/>
              </w:rPr>
              <w:t>Sessions expire, expired sessions are pruned, and sensitive fields are redacted.</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10206"/>
      </w:tblGrid>
      <w:tr>
        <w:tc>
          <w:tcPr>
            <w:tcW w:type="dxa" w:w="10206"/>
            <w:shd w:val="clear" w:color="auto" w:fill="0B3D2A"/>
          </w:tcPr>
          <w:p>
            <w:pPr>
              <w:spacing w:after="40"/>
            </w:pPr>
            <w:r>
              <w:rPr>
                <w:b/>
                <w:color w:val="FFFFFF"/>
                <w:sz w:val="26"/>
              </w:rPr>
              <w:t>One platform. One truth. Every tower, task and proof.</w:t>
            </w:r>
          </w:p>
          <w:p>
            <w:pPr>
              <w:spacing w:after="0"/>
            </w:pPr>
            <w:r>
              <w:rPr>
                <w:color w:val="C7D6CD"/>
                <w:sz w:val="18"/>
              </w:rPr>
              <w:t>Plan · Dispatch · Execute · Document · Verify</w:t>
            </w:r>
          </w:p>
        </w:tc>
      </w:tr>
    </w:tbl>
    <w:sectPr w:rsidR="00FC693F" w:rsidRPr="0006063C" w:rsidSect="00034616">
      <w:pgSz w:w="11906" w:h="16838"/>
      <w:pgMar w:top="907"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