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F489CB" w14:textId="0A8148D0" w:rsidR="00A74EBC" w:rsidRPr="00F037F7" w:rsidRDefault="00043664" w:rsidP="00043664">
      <w:pPr>
        <w:jc w:val="center"/>
        <w:rPr>
          <w:b/>
          <w:bCs/>
          <w:u w:val="single"/>
        </w:rPr>
      </w:pPr>
      <w:r w:rsidRPr="00F037F7">
        <w:rPr>
          <w:b/>
          <w:bCs/>
          <w:u w:val="single"/>
        </w:rPr>
        <w:t>Methodology to be used to verify effectiveness of the pulse oximeter</w:t>
      </w:r>
    </w:p>
    <w:p w14:paraId="1CD3101B" w14:textId="300F422E" w:rsidR="00043664" w:rsidRPr="00DA7D00" w:rsidRDefault="00043664" w:rsidP="00181BFA"/>
    <w:p w14:paraId="5F809528" w14:textId="77777777" w:rsidR="002972AA" w:rsidRDefault="002972AA" w:rsidP="002972AA"/>
    <w:tbl>
      <w:tblPr>
        <w:tblStyle w:val="TableGrid"/>
        <w:tblW w:w="9885" w:type="dxa"/>
        <w:tblLook w:val="04A0" w:firstRow="1" w:lastRow="0" w:firstColumn="1" w:lastColumn="0" w:noHBand="0" w:noVBand="1"/>
      </w:tblPr>
      <w:tblGrid>
        <w:gridCol w:w="2155"/>
        <w:gridCol w:w="2430"/>
        <w:gridCol w:w="3217"/>
        <w:gridCol w:w="2083"/>
      </w:tblGrid>
      <w:tr w:rsidR="009109BF" w14:paraId="2863242D" w14:textId="0E6A1314" w:rsidTr="00F6016B">
        <w:tc>
          <w:tcPr>
            <w:tcW w:w="2155" w:type="dxa"/>
            <w:shd w:val="clear" w:color="auto" w:fill="F4B083" w:themeFill="accent2" w:themeFillTint="99"/>
          </w:tcPr>
          <w:p w14:paraId="2DA2D888" w14:textId="26B7C25A" w:rsidR="009109BF" w:rsidRDefault="009109BF" w:rsidP="009109BF">
            <w:pPr>
              <w:jc w:val="left"/>
            </w:pPr>
            <w:bookmarkStart w:id="0" w:name="_Hlk83058038"/>
            <w:r>
              <w:t>Nature of verification method</w:t>
            </w:r>
          </w:p>
        </w:tc>
        <w:tc>
          <w:tcPr>
            <w:tcW w:w="2430" w:type="dxa"/>
            <w:shd w:val="clear" w:color="auto" w:fill="F4B083" w:themeFill="accent2" w:themeFillTint="99"/>
          </w:tcPr>
          <w:p w14:paraId="49C3E28B" w14:textId="13CCAA02" w:rsidR="009109BF" w:rsidRDefault="009109BF" w:rsidP="009109BF">
            <w:r>
              <w:t>Verification method</w:t>
            </w:r>
          </w:p>
        </w:tc>
        <w:tc>
          <w:tcPr>
            <w:tcW w:w="3217" w:type="dxa"/>
            <w:shd w:val="clear" w:color="auto" w:fill="F4B083" w:themeFill="accent2" w:themeFillTint="99"/>
          </w:tcPr>
          <w:p w14:paraId="7AD6D3CC" w14:textId="0460D705" w:rsidR="009109BF" w:rsidRDefault="009109BF" w:rsidP="009109BF">
            <w:r>
              <w:t>Description</w:t>
            </w:r>
          </w:p>
        </w:tc>
        <w:tc>
          <w:tcPr>
            <w:tcW w:w="2083" w:type="dxa"/>
            <w:shd w:val="clear" w:color="auto" w:fill="F4B083" w:themeFill="accent2" w:themeFillTint="99"/>
          </w:tcPr>
          <w:p w14:paraId="1E882921" w14:textId="2A62A6F6" w:rsidR="009109BF" w:rsidRDefault="009109BF" w:rsidP="009109BF">
            <w:r>
              <w:t>Validation method</w:t>
            </w:r>
          </w:p>
        </w:tc>
      </w:tr>
      <w:tr w:rsidR="009109BF" w14:paraId="02A769BD" w14:textId="14452C6E" w:rsidTr="00F6016B">
        <w:tc>
          <w:tcPr>
            <w:tcW w:w="2155" w:type="dxa"/>
            <w:vMerge w:val="restart"/>
            <w:tcBorders>
              <w:bottom w:val="nil"/>
            </w:tcBorders>
            <w:vAlign w:val="center"/>
          </w:tcPr>
          <w:p w14:paraId="1AC2AF1F" w14:textId="78079E89" w:rsidR="009109BF" w:rsidRDefault="00211658" w:rsidP="006F0B7D">
            <w:pPr>
              <w:jc w:val="center"/>
            </w:pPr>
            <w:r>
              <w:t>Design functional requirement</w:t>
            </w:r>
          </w:p>
        </w:tc>
        <w:tc>
          <w:tcPr>
            <w:tcW w:w="2430" w:type="dxa"/>
          </w:tcPr>
          <w:p w14:paraId="7E6F9841" w14:textId="5B59B006" w:rsidR="009109BF" w:rsidRDefault="009109BF" w:rsidP="009109BF">
            <w:pPr>
              <w:jc w:val="left"/>
            </w:pPr>
            <w:r>
              <w:t>Testing of measurement sensitivity of input to the signal processing unit</w:t>
            </w:r>
          </w:p>
        </w:tc>
        <w:tc>
          <w:tcPr>
            <w:tcW w:w="3217" w:type="dxa"/>
          </w:tcPr>
          <w:p w14:paraId="1A30E183" w14:textId="4450B379" w:rsidR="009109BF" w:rsidRDefault="009109BF" w:rsidP="009109BF">
            <w:pPr>
              <w:jc w:val="left"/>
            </w:pPr>
            <w:r>
              <w:t>This method consists in measuring the electrical current/voltage that results from the direct output from the photodiode.</w:t>
            </w:r>
          </w:p>
        </w:tc>
        <w:tc>
          <w:tcPr>
            <w:tcW w:w="2083" w:type="dxa"/>
          </w:tcPr>
          <w:p w14:paraId="604827A5" w14:textId="5AE73078" w:rsidR="009109BF" w:rsidRDefault="009109BF" w:rsidP="009109BF">
            <w:pPr>
              <w:jc w:val="left"/>
            </w:pPr>
            <w:r>
              <w:t>Demonstration and analysis</w:t>
            </w:r>
          </w:p>
        </w:tc>
      </w:tr>
      <w:tr w:rsidR="009109BF" w14:paraId="6F006E16" w14:textId="19635A87" w:rsidTr="00F6016B">
        <w:tc>
          <w:tcPr>
            <w:tcW w:w="2155" w:type="dxa"/>
            <w:vMerge/>
            <w:tcBorders>
              <w:bottom w:val="nil"/>
            </w:tcBorders>
          </w:tcPr>
          <w:p w14:paraId="56127B1C" w14:textId="77777777" w:rsidR="009109BF" w:rsidRDefault="009109BF" w:rsidP="009109BF">
            <w:pPr>
              <w:jc w:val="left"/>
            </w:pPr>
          </w:p>
        </w:tc>
        <w:tc>
          <w:tcPr>
            <w:tcW w:w="2430" w:type="dxa"/>
          </w:tcPr>
          <w:p w14:paraId="6B901854" w14:textId="39C5030A" w:rsidR="009109BF" w:rsidRDefault="009109BF" w:rsidP="009109BF">
            <w:pPr>
              <w:jc w:val="left"/>
            </w:pPr>
            <w:r>
              <w:t>Testing of measurement sensitivity of output to the signal processing unit</w:t>
            </w:r>
          </w:p>
        </w:tc>
        <w:tc>
          <w:tcPr>
            <w:tcW w:w="3217" w:type="dxa"/>
          </w:tcPr>
          <w:p w14:paraId="12022FDA" w14:textId="6D96F93D" w:rsidR="009109BF" w:rsidRDefault="009109BF" w:rsidP="009109BF">
            <w:pPr>
              <w:jc w:val="left"/>
            </w:pPr>
            <w:r>
              <w:t>This method consists in measuring the electrical current/voltage that results from the direct output from the signal processing unit.</w:t>
            </w:r>
          </w:p>
        </w:tc>
        <w:tc>
          <w:tcPr>
            <w:tcW w:w="2083" w:type="dxa"/>
          </w:tcPr>
          <w:p w14:paraId="78F286CC" w14:textId="76416F2E" w:rsidR="009109BF" w:rsidRDefault="009109BF" w:rsidP="009109BF">
            <w:pPr>
              <w:jc w:val="left"/>
            </w:pPr>
            <w:r>
              <w:t>Demonstration and analysis</w:t>
            </w:r>
          </w:p>
        </w:tc>
      </w:tr>
      <w:tr w:rsidR="009109BF" w14:paraId="1D0B1B21" w14:textId="479CC2F6" w:rsidTr="00F6016B">
        <w:tc>
          <w:tcPr>
            <w:tcW w:w="2155" w:type="dxa"/>
            <w:vMerge w:val="restart"/>
            <w:tcBorders>
              <w:top w:val="nil"/>
            </w:tcBorders>
          </w:tcPr>
          <w:p w14:paraId="79ADED59" w14:textId="77777777" w:rsidR="009109BF" w:rsidRDefault="009109BF" w:rsidP="009109BF">
            <w:pPr>
              <w:jc w:val="left"/>
            </w:pPr>
          </w:p>
        </w:tc>
        <w:tc>
          <w:tcPr>
            <w:tcW w:w="2430" w:type="dxa"/>
          </w:tcPr>
          <w:p w14:paraId="7E8C2D23" w14:textId="1E09D144" w:rsidR="009109BF" w:rsidRDefault="009109BF" w:rsidP="009109BF">
            <w:pPr>
              <w:jc w:val="left"/>
            </w:pPr>
            <w:r>
              <w:t>Testing of electrical input to the CPU subsystem</w:t>
            </w:r>
          </w:p>
        </w:tc>
        <w:tc>
          <w:tcPr>
            <w:tcW w:w="3217" w:type="dxa"/>
          </w:tcPr>
          <w:p w14:paraId="62AC8E53" w14:textId="7D914FCB" w:rsidR="009109BF" w:rsidRDefault="009109BF" w:rsidP="009109BF">
            <w:pPr>
              <w:jc w:val="left"/>
            </w:pPr>
            <w:r>
              <w:t>This method consists in measuring the electrical current/voltage that results from the direct input value to the CPU as received from the signal processing unit</w:t>
            </w:r>
          </w:p>
        </w:tc>
        <w:tc>
          <w:tcPr>
            <w:tcW w:w="2083" w:type="dxa"/>
          </w:tcPr>
          <w:p w14:paraId="10DCF4AD" w14:textId="3E00ECFE" w:rsidR="009109BF" w:rsidRDefault="009109BF" w:rsidP="009109BF">
            <w:pPr>
              <w:jc w:val="left"/>
            </w:pPr>
            <w:r>
              <w:t>Test and demonstration</w:t>
            </w:r>
          </w:p>
        </w:tc>
      </w:tr>
      <w:tr w:rsidR="009109BF" w14:paraId="7F145E17" w14:textId="1340118A" w:rsidTr="00F6016B">
        <w:trPr>
          <w:trHeight w:val="800"/>
        </w:trPr>
        <w:tc>
          <w:tcPr>
            <w:tcW w:w="2155" w:type="dxa"/>
            <w:vMerge/>
            <w:tcBorders>
              <w:top w:val="nil"/>
            </w:tcBorders>
          </w:tcPr>
          <w:p w14:paraId="217A4708" w14:textId="77777777" w:rsidR="009109BF" w:rsidRDefault="009109BF" w:rsidP="009109BF">
            <w:pPr>
              <w:jc w:val="left"/>
            </w:pPr>
          </w:p>
        </w:tc>
        <w:tc>
          <w:tcPr>
            <w:tcW w:w="2430" w:type="dxa"/>
          </w:tcPr>
          <w:p w14:paraId="4E1C8386" w14:textId="4BF6E0AB" w:rsidR="009109BF" w:rsidRDefault="009109BF" w:rsidP="009109BF">
            <w:pPr>
              <w:jc w:val="left"/>
            </w:pPr>
            <w:r>
              <w:t xml:space="preserve">Testing of the device accuracy by comparison to the reference </w:t>
            </w:r>
            <w:r w:rsidR="006F0B7D">
              <w:t>calibration</w:t>
            </w:r>
          </w:p>
        </w:tc>
        <w:tc>
          <w:tcPr>
            <w:tcW w:w="3217" w:type="dxa"/>
          </w:tcPr>
          <w:p w14:paraId="36EE90E9" w14:textId="31EC1E57" w:rsidR="009109BF" w:rsidRDefault="009109BF" w:rsidP="009109BF">
            <w:pPr>
              <w:jc w:val="left"/>
            </w:pPr>
            <w:r>
              <w:t>This method consists in observing the output value from the CPU on the LCD screen interface with the output observed from the reference device.</w:t>
            </w:r>
          </w:p>
        </w:tc>
        <w:tc>
          <w:tcPr>
            <w:tcW w:w="2083" w:type="dxa"/>
          </w:tcPr>
          <w:p w14:paraId="7939FD54" w14:textId="39E51010" w:rsidR="009109BF" w:rsidRDefault="009109BF" w:rsidP="009109BF">
            <w:pPr>
              <w:jc w:val="left"/>
            </w:pPr>
            <w:r>
              <w:t>Inspection</w:t>
            </w:r>
          </w:p>
        </w:tc>
      </w:tr>
      <w:tr w:rsidR="009109BF" w14:paraId="29ED7D4C" w14:textId="020C394A" w:rsidTr="00F6016B">
        <w:trPr>
          <w:trHeight w:val="800"/>
        </w:trPr>
        <w:tc>
          <w:tcPr>
            <w:tcW w:w="2155" w:type="dxa"/>
            <w:vMerge w:val="restart"/>
            <w:tcBorders>
              <w:top w:val="single" w:sz="4" w:space="0" w:color="auto"/>
            </w:tcBorders>
            <w:vAlign w:val="center"/>
          </w:tcPr>
          <w:p w14:paraId="0BEEBDC8" w14:textId="78C29B0F" w:rsidR="009109BF" w:rsidRDefault="00644462" w:rsidP="006F0B7D">
            <w:pPr>
              <w:jc w:val="center"/>
            </w:pPr>
            <w:r>
              <w:t>Design operational requirement</w:t>
            </w:r>
          </w:p>
        </w:tc>
        <w:tc>
          <w:tcPr>
            <w:tcW w:w="2430" w:type="dxa"/>
          </w:tcPr>
          <w:p w14:paraId="5822302C" w14:textId="6B03CD7A" w:rsidR="009109BF" w:rsidRDefault="009109BF" w:rsidP="009109BF">
            <w:pPr>
              <w:jc w:val="left"/>
            </w:pPr>
            <w:r>
              <w:t>Testing of the measurement of the device in comparison with a more accurate pulse oximeter</w:t>
            </w:r>
          </w:p>
        </w:tc>
        <w:tc>
          <w:tcPr>
            <w:tcW w:w="3217" w:type="dxa"/>
          </w:tcPr>
          <w:p w14:paraId="329EE56C" w14:textId="0BF706FB" w:rsidR="009109BF" w:rsidRDefault="009109BF" w:rsidP="009109BF">
            <w:pPr>
              <w:jc w:val="left"/>
            </w:pPr>
            <w:r>
              <w:t>This method consists in using another oximeter with better calibration to check for accuracy of the readings</w:t>
            </w:r>
          </w:p>
        </w:tc>
        <w:tc>
          <w:tcPr>
            <w:tcW w:w="2083" w:type="dxa"/>
          </w:tcPr>
          <w:p w14:paraId="14D4271F" w14:textId="68126579" w:rsidR="009109BF" w:rsidRDefault="009109BF" w:rsidP="009109BF">
            <w:pPr>
              <w:jc w:val="left"/>
            </w:pPr>
            <w:r>
              <w:t>Inspection</w:t>
            </w:r>
          </w:p>
        </w:tc>
      </w:tr>
      <w:tr w:rsidR="009109BF" w14:paraId="024F3787" w14:textId="23C1DA17" w:rsidTr="00F6016B">
        <w:trPr>
          <w:trHeight w:val="800"/>
        </w:trPr>
        <w:tc>
          <w:tcPr>
            <w:tcW w:w="2155" w:type="dxa"/>
            <w:vMerge/>
            <w:tcBorders>
              <w:top w:val="nil"/>
            </w:tcBorders>
          </w:tcPr>
          <w:p w14:paraId="70669E6B" w14:textId="77777777" w:rsidR="009109BF" w:rsidRDefault="009109BF" w:rsidP="009109BF">
            <w:pPr>
              <w:jc w:val="left"/>
            </w:pPr>
          </w:p>
        </w:tc>
        <w:tc>
          <w:tcPr>
            <w:tcW w:w="2430" w:type="dxa"/>
          </w:tcPr>
          <w:p w14:paraId="3F558D44" w14:textId="60F349E4" w:rsidR="009109BF" w:rsidRDefault="009109BF" w:rsidP="009109BF">
            <w:pPr>
              <w:jc w:val="left"/>
            </w:pPr>
            <w:r>
              <w:t>Comparing measurement from different parts of the body</w:t>
            </w:r>
          </w:p>
        </w:tc>
        <w:tc>
          <w:tcPr>
            <w:tcW w:w="3217" w:type="dxa"/>
          </w:tcPr>
          <w:p w14:paraId="50193D06" w14:textId="36B4A8ED" w:rsidR="009109BF" w:rsidRDefault="009109BF" w:rsidP="009109BF">
            <w:pPr>
              <w:jc w:val="left"/>
            </w:pPr>
            <w:r>
              <w:t>This method consists in measuring the SpO2 level on different fingers of the same person with little time frame of interval between each measurement.</w:t>
            </w:r>
          </w:p>
        </w:tc>
        <w:tc>
          <w:tcPr>
            <w:tcW w:w="2083" w:type="dxa"/>
          </w:tcPr>
          <w:p w14:paraId="7346E86B" w14:textId="52905147" w:rsidR="009109BF" w:rsidRDefault="009109BF" w:rsidP="009109BF">
            <w:pPr>
              <w:jc w:val="left"/>
            </w:pPr>
            <w:r>
              <w:t>Inspection and analysis</w:t>
            </w:r>
          </w:p>
        </w:tc>
      </w:tr>
      <w:tr w:rsidR="009109BF" w14:paraId="062120C8" w14:textId="2E29C6FB" w:rsidTr="00F6016B">
        <w:trPr>
          <w:trHeight w:val="800"/>
        </w:trPr>
        <w:tc>
          <w:tcPr>
            <w:tcW w:w="2155" w:type="dxa"/>
            <w:vMerge/>
            <w:tcBorders>
              <w:top w:val="nil"/>
            </w:tcBorders>
          </w:tcPr>
          <w:p w14:paraId="29BF76ED" w14:textId="77777777" w:rsidR="009109BF" w:rsidRDefault="009109BF" w:rsidP="009109BF">
            <w:pPr>
              <w:jc w:val="left"/>
            </w:pPr>
          </w:p>
        </w:tc>
        <w:tc>
          <w:tcPr>
            <w:tcW w:w="2430" w:type="dxa"/>
          </w:tcPr>
          <w:p w14:paraId="16605C16" w14:textId="2BD872F9" w:rsidR="009109BF" w:rsidRDefault="009109BF" w:rsidP="009109BF">
            <w:pPr>
              <w:jc w:val="left"/>
            </w:pPr>
            <w:r>
              <w:t>Repeating measurement on the same part of the body</w:t>
            </w:r>
          </w:p>
        </w:tc>
        <w:tc>
          <w:tcPr>
            <w:tcW w:w="3217" w:type="dxa"/>
          </w:tcPr>
          <w:p w14:paraId="09B983AC" w14:textId="53373C58" w:rsidR="009109BF" w:rsidRDefault="009109BF" w:rsidP="009109BF">
            <w:pPr>
              <w:jc w:val="left"/>
            </w:pPr>
            <w:r>
              <w:t>This method consists in measuring the SpO2 level on the same finger of the same person with little time frame of interval between each measurement.</w:t>
            </w:r>
          </w:p>
        </w:tc>
        <w:tc>
          <w:tcPr>
            <w:tcW w:w="2083" w:type="dxa"/>
          </w:tcPr>
          <w:p w14:paraId="2CFD227F" w14:textId="202CA555" w:rsidR="009109BF" w:rsidRDefault="009109BF" w:rsidP="009109BF">
            <w:pPr>
              <w:jc w:val="left"/>
            </w:pPr>
            <w:r>
              <w:t>Inspection and analysis</w:t>
            </w:r>
          </w:p>
        </w:tc>
      </w:tr>
      <w:tr w:rsidR="009109BF" w14:paraId="373E5C08" w14:textId="48EDB586" w:rsidTr="00F6016B">
        <w:trPr>
          <w:trHeight w:val="800"/>
        </w:trPr>
        <w:tc>
          <w:tcPr>
            <w:tcW w:w="2155" w:type="dxa"/>
            <w:vMerge/>
            <w:tcBorders>
              <w:top w:val="nil"/>
            </w:tcBorders>
          </w:tcPr>
          <w:p w14:paraId="529DF368" w14:textId="77777777" w:rsidR="009109BF" w:rsidRDefault="009109BF" w:rsidP="009109BF">
            <w:pPr>
              <w:jc w:val="left"/>
            </w:pPr>
          </w:p>
        </w:tc>
        <w:tc>
          <w:tcPr>
            <w:tcW w:w="2430" w:type="dxa"/>
          </w:tcPr>
          <w:p w14:paraId="06C678EF" w14:textId="31422BFA" w:rsidR="009109BF" w:rsidRDefault="009109BF" w:rsidP="009109BF">
            <w:pPr>
              <w:jc w:val="left"/>
            </w:pPr>
            <w:r>
              <w:t>Perform tests on healthy female/male adult and compare with measurement from healthy female/male child (10- to 14-year-old)</w:t>
            </w:r>
          </w:p>
        </w:tc>
        <w:tc>
          <w:tcPr>
            <w:tcW w:w="3217" w:type="dxa"/>
          </w:tcPr>
          <w:p w14:paraId="071A1449" w14:textId="3107CCF7" w:rsidR="009109BF" w:rsidRDefault="009109BF" w:rsidP="009109BF">
            <w:pPr>
              <w:jc w:val="left"/>
            </w:pPr>
            <w:r>
              <w:t>This method consists in measuring the SpO2 level on the same finger of the same amount of female and male person with little time frame of interval between each measurement.</w:t>
            </w:r>
          </w:p>
        </w:tc>
        <w:tc>
          <w:tcPr>
            <w:tcW w:w="2083" w:type="dxa"/>
          </w:tcPr>
          <w:p w14:paraId="0E88F57C" w14:textId="6BCF7090" w:rsidR="009109BF" w:rsidRDefault="009109BF" w:rsidP="009109BF">
            <w:pPr>
              <w:jc w:val="left"/>
            </w:pPr>
            <w:r>
              <w:t>Inspection and analysis</w:t>
            </w:r>
          </w:p>
        </w:tc>
      </w:tr>
      <w:tr w:rsidR="009109BF" w14:paraId="062A93DC" w14:textId="28A630D9" w:rsidTr="00F6016B">
        <w:trPr>
          <w:trHeight w:val="800"/>
        </w:trPr>
        <w:tc>
          <w:tcPr>
            <w:tcW w:w="2155" w:type="dxa"/>
            <w:vMerge/>
            <w:tcBorders>
              <w:top w:val="nil"/>
            </w:tcBorders>
          </w:tcPr>
          <w:p w14:paraId="739D2C18" w14:textId="77777777" w:rsidR="009109BF" w:rsidRDefault="009109BF" w:rsidP="009109BF">
            <w:pPr>
              <w:jc w:val="left"/>
            </w:pPr>
          </w:p>
        </w:tc>
        <w:tc>
          <w:tcPr>
            <w:tcW w:w="2430" w:type="dxa"/>
          </w:tcPr>
          <w:p w14:paraId="47AE5E1C" w14:textId="108FB19A" w:rsidR="009109BF" w:rsidRDefault="009109BF" w:rsidP="009109BF">
            <w:pPr>
              <w:jc w:val="left"/>
            </w:pPr>
            <w:r>
              <w:t>Testing for accuracy in case the user has polished nails</w:t>
            </w:r>
          </w:p>
        </w:tc>
        <w:tc>
          <w:tcPr>
            <w:tcW w:w="3217" w:type="dxa"/>
          </w:tcPr>
          <w:p w14:paraId="075D3503" w14:textId="3F0101AE" w:rsidR="009109BF" w:rsidRDefault="009109BF" w:rsidP="009109BF">
            <w:pPr>
              <w:jc w:val="left"/>
            </w:pPr>
            <w:r>
              <w:t>This method consists in measuring the SpO2 level on the same finger of the same person with different colours of nail polishing with little time frame of interval between each measurement.</w:t>
            </w:r>
          </w:p>
        </w:tc>
        <w:tc>
          <w:tcPr>
            <w:tcW w:w="2083" w:type="dxa"/>
          </w:tcPr>
          <w:p w14:paraId="1DC76997" w14:textId="101E377B" w:rsidR="009109BF" w:rsidRDefault="009109BF" w:rsidP="009109BF">
            <w:pPr>
              <w:jc w:val="left"/>
            </w:pPr>
            <w:r>
              <w:t>Inspection and analysis</w:t>
            </w:r>
          </w:p>
        </w:tc>
      </w:tr>
      <w:bookmarkEnd w:id="0"/>
    </w:tbl>
    <w:p w14:paraId="593E107D" w14:textId="02733D5F" w:rsidR="009554F0" w:rsidRDefault="009554F0" w:rsidP="00043664"/>
    <w:p w14:paraId="0AE80778" w14:textId="75B4A232" w:rsidR="00EE4D17" w:rsidRDefault="009554F0" w:rsidP="009554F0">
      <w:pPr>
        <w:jc w:val="left"/>
      </w:pPr>
      <w:r>
        <w:br w:type="page"/>
      </w:r>
    </w:p>
    <w:p w14:paraId="279B68AC" w14:textId="3E9B74A1" w:rsidR="00992C97" w:rsidRPr="00992C97" w:rsidRDefault="00992C97" w:rsidP="00043664">
      <w:pPr>
        <w:rPr>
          <w:b/>
          <w:bCs/>
          <w:u w:val="single"/>
        </w:rPr>
      </w:pPr>
      <w:r w:rsidRPr="00992C97">
        <w:rPr>
          <w:b/>
          <w:bCs/>
          <w:u w:val="single"/>
        </w:rPr>
        <w:lastRenderedPageBreak/>
        <w:t>References</w:t>
      </w:r>
    </w:p>
    <w:p w14:paraId="7C2399AE" w14:textId="77777777" w:rsidR="00442C78" w:rsidRDefault="00442C78" w:rsidP="00043664"/>
    <w:p w14:paraId="31369C78" w14:textId="52BF4315" w:rsidR="00992C97" w:rsidRDefault="00442C78" w:rsidP="00043664">
      <w:r>
        <w:t xml:space="preserve">[1] </w:t>
      </w:r>
      <w:r w:rsidR="00992C97">
        <w:t xml:space="preserve">AIP Conference Proceedings 1883, 020024, “Development of theoretical oxygen saturation calibration curve based on optical density ratio and optical simulation approach”, [Online], September 2017. Available: </w:t>
      </w:r>
      <w:hyperlink r:id="rId5" w:history="1">
        <w:r w:rsidR="00992C97" w:rsidRPr="00265C33">
          <w:rPr>
            <w:rStyle w:val="Hyperlink"/>
          </w:rPr>
          <w:t>https://doi.org/10.1063/1.5002042</w:t>
        </w:r>
      </w:hyperlink>
    </w:p>
    <w:p w14:paraId="37602337" w14:textId="1BD2FA54" w:rsidR="00EE4D17" w:rsidRDefault="00487533" w:rsidP="00043664">
      <w:r>
        <w:t>[2] “</w:t>
      </w:r>
      <w:r w:rsidRPr="00487533">
        <w:t>8888 Oxygen Oximeter Pulse Oximeter</w:t>
      </w:r>
      <w:r>
        <w:t xml:space="preserve">”, [Online]. Available: </w:t>
      </w:r>
      <w:hyperlink r:id="rId6" w:history="1">
        <w:r w:rsidRPr="00632A4E">
          <w:rPr>
            <w:rStyle w:val="Hyperlink"/>
          </w:rPr>
          <w:t>https://za.rs-online.com/web/p/gas-detectors/2020776/?cm_mmc=ZA-PLA-DS3A-_-google-_-PLA_ZA_EN_Test_%26_Measurement_Whoop-_-(ZA:Whoop!)+Gas+Detectors+(2)-_-2020776&amp;matchtype=&amp;aud-827186183926:pla-302917891561&amp;gclid=CjwKCAjw-ZCKBhBkEiwAM4qfF4JplGJPDW_gU0KmLNs2mEePgdSlXZpKMPlgGPwrYK8kxygZ2G4-6xoCar8QAvD_BwE&amp;gclsrc=aw.ds</w:t>
        </w:r>
      </w:hyperlink>
    </w:p>
    <w:p w14:paraId="2223D81B" w14:textId="77777777" w:rsidR="00487533" w:rsidRDefault="00487533" w:rsidP="00043664"/>
    <w:p w14:paraId="23924B79" w14:textId="3E662990" w:rsidR="00EE4D17" w:rsidRDefault="00EE4D17" w:rsidP="00043664"/>
    <w:p w14:paraId="70555386" w14:textId="14723032" w:rsidR="00EE4D17" w:rsidRDefault="00EE4D17" w:rsidP="00043664"/>
    <w:p w14:paraId="7BAFB305" w14:textId="5F3B47E8" w:rsidR="00EE4D17" w:rsidRDefault="00EE4D17" w:rsidP="00043664">
      <w:r>
        <w:t xml:space="preserve">Note: </w:t>
      </w:r>
    </w:p>
    <w:p w14:paraId="00426DD8" w14:textId="4E0B13DE" w:rsidR="00EE4D17" w:rsidRDefault="00EE4D17" w:rsidP="00043664">
      <w:r>
        <w:t xml:space="preserve">Oximeter </w:t>
      </w:r>
      <w:proofErr w:type="gramStart"/>
      <w:r>
        <w:t>emit;</w:t>
      </w:r>
      <w:proofErr w:type="gramEnd"/>
    </w:p>
    <w:p w14:paraId="1A060737" w14:textId="775379EA" w:rsidR="00EE4D17" w:rsidRDefault="00EE4D17" w:rsidP="00043664">
      <w:r>
        <w:t>Red light with wavelength of about 650 nm</w:t>
      </w:r>
    </w:p>
    <w:p w14:paraId="5BF1D6AB" w14:textId="3E94805C" w:rsidR="00EE4D17" w:rsidRDefault="00EE4D17" w:rsidP="00EE4D17">
      <w:r>
        <w:t>Infra</w:t>
      </w:r>
      <w:r w:rsidR="00181BFA">
        <w:t>r</w:t>
      </w:r>
      <w:r>
        <w:t xml:space="preserve">ed light with wavelength of about </w:t>
      </w:r>
      <w:r w:rsidR="00181BFA">
        <w:t>950</w:t>
      </w:r>
      <w:r>
        <w:t xml:space="preserve"> nm</w:t>
      </w:r>
    </w:p>
    <w:p w14:paraId="19B892A4" w14:textId="46411C69" w:rsidR="009D3497" w:rsidRDefault="009D3497" w:rsidP="00043664">
      <w:pPr>
        <w:jc w:val="left"/>
      </w:pPr>
      <w:r>
        <w:t>Find pulse oximeter calibration table</w:t>
      </w:r>
    </w:p>
    <w:p w14:paraId="4AEBB8C4" w14:textId="31FBD900" w:rsidR="00FD6281" w:rsidRDefault="00FD6281" w:rsidP="00043664">
      <w:pPr>
        <w:jc w:val="left"/>
      </w:pPr>
      <w:r>
        <w:t xml:space="preserve">AC: </w:t>
      </w:r>
      <w:r w:rsidR="009224A4">
        <w:t>pulsatile</w:t>
      </w:r>
      <w:r>
        <w:t xml:space="preserve"> </w:t>
      </w:r>
      <w:r w:rsidR="009224A4">
        <w:t>measurement</w:t>
      </w:r>
    </w:p>
    <w:p w14:paraId="25C090B8" w14:textId="76DF5098" w:rsidR="009224A4" w:rsidRDefault="009224A4" w:rsidP="00043664">
      <w:pPr>
        <w:jc w:val="left"/>
      </w:pPr>
      <w:r>
        <w:t>DC: non-pulsatile measurement</w:t>
      </w:r>
    </w:p>
    <w:p w14:paraId="7023DF5C" w14:textId="69D0B396" w:rsidR="00CE5FAB" w:rsidRDefault="00CE5FAB" w:rsidP="00043664">
      <w:pPr>
        <w:jc w:val="left"/>
      </w:pPr>
      <w:r>
        <w:t>PI: Perfusion index</w:t>
      </w:r>
    </w:p>
    <w:p w14:paraId="068664DA" w14:textId="4790C464" w:rsidR="00CE5FAB" w:rsidRDefault="00CE5FAB" w:rsidP="00043664">
      <w:pPr>
        <w:jc w:val="left"/>
      </w:pPr>
      <w:r>
        <w:t>PI = AC/DC x 100%</w:t>
      </w:r>
    </w:p>
    <w:p w14:paraId="11047ED8" w14:textId="7B038640" w:rsidR="00EF3862" w:rsidRPr="00043664" w:rsidRDefault="00EF3862" w:rsidP="00043664">
      <w:pPr>
        <w:jc w:val="left"/>
      </w:pPr>
      <m:oMathPara>
        <m:oMath>
          <m:r>
            <w:rPr>
              <w:rFonts w:ascii="Cambria Math" w:hAnsi="Cambria Math"/>
            </w:rPr>
            <m:t xml:space="preserve">Rvalue= </m:t>
          </m:r>
          <m:f>
            <m:fPr>
              <m:ctrlPr>
                <w:rPr>
                  <w:rFonts w:ascii="Cambria Math" w:hAnsi="Cambria Math"/>
                  <w:i/>
                </w:rPr>
              </m:ctrlPr>
            </m:fPr>
            <m:num>
              <m:f>
                <m:fPr>
                  <m:ctrlPr>
                    <w:rPr>
                      <w:rFonts w:ascii="Cambria Math" w:hAnsi="Cambria Math"/>
                      <w:i/>
                    </w:rPr>
                  </m:ctrlPr>
                </m:fPr>
                <m:num>
                  <m:sSub>
                    <m:sSubPr>
                      <m:ctrlPr>
                        <w:rPr>
                          <w:rFonts w:ascii="Cambria Math" w:hAnsi="Cambria Math"/>
                          <w:i/>
                        </w:rPr>
                      </m:ctrlPr>
                    </m:sSubPr>
                    <m:e>
                      <m:r>
                        <w:rPr>
                          <w:rFonts w:ascii="Cambria Math" w:hAnsi="Cambria Math"/>
                        </w:rPr>
                        <m:t>AC</m:t>
                      </m:r>
                    </m:e>
                    <m:sub>
                      <m:r>
                        <w:rPr>
                          <w:rFonts w:ascii="Cambria Math" w:hAnsi="Cambria Math"/>
                        </w:rPr>
                        <m:t>red</m:t>
                      </m:r>
                    </m:sub>
                  </m:sSub>
                </m:num>
                <m:den>
                  <m:sSub>
                    <m:sSubPr>
                      <m:ctrlPr>
                        <w:rPr>
                          <w:rFonts w:ascii="Cambria Math" w:hAnsi="Cambria Math"/>
                          <w:i/>
                        </w:rPr>
                      </m:ctrlPr>
                    </m:sSubPr>
                    <m:e>
                      <m:r>
                        <w:rPr>
                          <w:rFonts w:ascii="Cambria Math" w:hAnsi="Cambria Math"/>
                        </w:rPr>
                        <m:t>DC</m:t>
                      </m:r>
                    </m:e>
                    <m:sub>
                      <m:r>
                        <w:rPr>
                          <w:rFonts w:ascii="Cambria Math" w:hAnsi="Cambria Math"/>
                        </w:rPr>
                        <m:t>red</m:t>
                      </m:r>
                    </m:sub>
                  </m:sSub>
                </m:den>
              </m:f>
            </m:num>
            <m:den>
              <m:f>
                <m:fPr>
                  <m:ctrlPr>
                    <w:rPr>
                      <w:rFonts w:ascii="Cambria Math" w:hAnsi="Cambria Math"/>
                      <w:i/>
                    </w:rPr>
                  </m:ctrlPr>
                </m:fPr>
                <m:num>
                  <m:sSub>
                    <m:sSubPr>
                      <m:ctrlPr>
                        <w:rPr>
                          <w:rFonts w:ascii="Cambria Math" w:hAnsi="Cambria Math"/>
                          <w:i/>
                        </w:rPr>
                      </m:ctrlPr>
                    </m:sSubPr>
                    <m:e>
                      <m:r>
                        <w:rPr>
                          <w:rFonts w:ascii="Cambria Math" w:hAnsi="Cambria Math"/>
                        </w:rPr>
                        <m:t>AC</m:t>
                      </m:r>
                    </m:e>
                    <m:sub>
                      <m:r>
                        <w:rPr>
                          <w:rFonts w:ascii="Cambria Math" w:hAnsi="Cambria Math"/>
                        </w:rPr>
                        <m:t>IR</m:t>
                      </m:r>
                    </m:sub>
                  </m:sSub>
                </m:num>
                <m:den>
                  <m:sSub>
                    <m:sSubPr>
                      <m:ctrlPr>
                        <w:rPr>
                          <w:rFonts w:ascii="Cambria Math" w:hAnsi="Cambria Math"/>
                          <w:i/>
                        </w:rPr>
                      </m:ctrlPr>
                    </m:sSubPr>
                    <m:e>
                      <m:r>
                        <w:rPr>
                          <w:rFonts w:ascii="Cambria Math" w:hAnsi="Cambria Math"/>
                        </w:rPr>
                        <m:t>DC</m:t>
                      </m:r>
                    </m:e>
                    <m:sub>
                      <m:r>
                        <w:rPr>
                          <w:rFonts w:ascii="Cambria Math" w:hAnsi="Cambria Math"/>
                        </w:rPr>
                        <m:t>IR</m:t>
                      </m:r>
                    </m:sub>
                  </m:sSub>
                </m:den>
              </m:f>
            </m:den>
          </m:f>
        </m:oMath>
      </m:oMathPara>
    </w:p>
    <w:sectPr w:rsidR="00EF3862" w:rsidRPr="00043664">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5A3900"/>
    <w:multiLevelType w:val="hybridMultilevel"/>
    <w:tmpl w:val="D3F2A88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64"/>
    <w:rsid w:val="00043664"/>
    <w:rsid w:val="000D5140"/>
    <w:rsid w:val="000E56ED"/>
    <w:rsid w:val="00181BFA"/>
    <w:rsid w:val="00187432"/>
    <w:rsid w:val="001B3FF9"/>
    <w:rsid w:val="00211658"/>
    <w:rsid w:val="00251084"/>
    <w:rsid w:val="002972AA"/>
    <w:rsid w:val="002C2382"/>
    <w:rsid w:val="00302E0E"/>
    <w:rsid w:val="00382ACD"/>
    <w:rsid w:val="003D7E70"/>
    <w:rsid w:val="00442C78"/>
    <w:rsid w:val="00487533"/>
    <w:rsid w:val="004D375E"/>
    <w:rsid w:val="005341B7"/>
    <w:rsid w:val="00566007"/>
    <w:rsid w:val="005D2D77"/>
    <w:rsid w:val="005D63E5"/>
    <w:rsid w:val="00644462"/>
    <w:rsid w:val="00687807"/>
    <w:rsid w:val="006F0B7D"/>
    <w:rsid w:val="007F2B14"/>
    <w:rsid w:val="00805882"/>
    <w:rsid w:val="0087562A"/>
    <w:rsid w:val="009109BF"/>
    <w:rsid w:val="009224A4"/>
    <w:rsid w:val="009554F0"/>
    <w:rsid w:val="00992C97"/>
    <w:rsid w:val="009D3497"/>
    <w:rsid w:val="009E10FC"/>
    <w:rsid w:val="00A74EBC"/>
    <w:rsid w:val="00BE6947"/>
    <w:rsid w:val="00BF6E44"/>
    <w:rsid w:val="00C238DC"/>
    <w:rsid w:val="00CE5FAB"/>
    <w:rsid w:val="00D60124"/>
    <w:rsid w:val="00DA7D00"/>
    <w:rsid w:val="00E832B2"/>
    <w:rsid w:val="00EA39D2"/>
    <w:rsid w:val="00EA7C3F"/>
    <w:rsid w:val="00EE4D17"/>
    <w:rsid w:val="00EF3862"/>
    <w:rsid w:val="00F037F7"/>
    <w:rsid w:val="00F10718"/>
    <w:rsid w:val="00F6016B"/>
    <w:rsid w:val="00F7711A"/>
    <w:rsid w:val="00FD6281"/>
    <w:rsid w:val="00FF6C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C93FB"/>
  <w15:chartTrackingRefBased/>
  <w15:docId w15:val="{BD2CA84B-3B49-454F-95B3-6A67A949B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7F7"/>
    <w:pPr>
      <w:jc w:val="both"/>
    </w:pPr>
    <w:rPr>
      <w:rFonts w:ascii="Times New Roman" w:hAnsi="Times New Roman"/>
      <w:sz w:val="24"/>
    </w:rPr>
  </w:style>
  <w:style w:type="paragraph" w:styleId="Heading1">
    <w:name w:val="heading 1"/>
    <w:basedOn w:val="Normal"/>
    <w:next w:val="Normal"/>
    <w:link w:val="Heading1Char"/>
    <w:uiPriority w:val="9"/>
    <w:qFormat/>
    <w:rsid w:val="00F037F7"/>
    <w:pPr>
      <w:keepNext/>
      <w:keepLines/>
      <w:spacing w:before="240" w:after="0"/>
      <w:outlineLvl w:val="0"/>
    </w:pPr>
    <w:rPr>
      <w:rFonts w:eastAsiaTheme="majorEastAsia"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E44"/>
    <w:pPr>
      <w:ind w:left="720"/>
      <w:contextualSpacing/>
    </w:pPr>
  </w:style>
  <w:style w:type="table" w:styleId="TableGrid">
    <w:name w:val="Table Grid"/>
    <w:basedOn w:val="TableNormal"/>
    <w:uiPriority w:val="39"/>
    <w:rsid w:val="008058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037F7"/>
    <w:rPr>
      <w:rFonts w:ascii="Times New Roman" w:eastAsiaTheme="majorEastAsia" w:hAnsi="Times New Roman" w:cstheme="majorBidi"/>
      <w:b/>
      <w:color w:val="000000" w:themeColor="text1"/>
      <w:sz w:val="28"/>
      <w:szCs w:val="32"/>
    </w:rPr>
  </w:style>
  <w:style w:type="character" w:styleId="PlaceholderText">
    <w:name w:val="Placeholder Text"/>
    <w:basedOn w:val="DefaultParagraphFont"/>
    <w:uiPriority w:val="99"/>
    <w:semiHidden/>
    <w:rsid w:val="00EF3862"/>
    <w:rPr>
      <w:color w:val="808080"/>
    </w:rPr>
  </w:style>
  <w:style w:type="character" w:styleId="Hyperlink">
    <w:name w:val="Hyperlink"/>
    <w:basedOn w:val="DefaultParagraphFont"/>
    <w:uiPriority w:val="99"/>
    <w:unhideWhenUsed/>
    <w:rsid w:val="00992C97"/>
    <w:rPr>
      <w:color w:val="0563C1" w:themeColor="hyperlink"/>
      <w:u w:val="single"/>
    </w:rPr>
  </w:style>
  <w:style w:type="character" w:styleId="UnresolvedMention">
    <w:name w:val="Unresolved Mention"/>
    <w:basedOn w:val="DefaultParagraphFont"/>
    <w:uiPriority w:val="99"/>
    <w:semiHidden/>
    <w:unhideWhenUsed/>
    <w:rsid w:val="00992C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81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za.rs-online.com/web/p/gas-detectors/2020776/?cm_mmc=ZA-PLA-DS3A-_-google-_-PLA_ZA_EN_Test_%26_Measurement_Whoop-_-(ZA:Whoop!)+Gas+Detectors+(2)-_-2020776&amp;matchtype=&amp;aud-827186183926:pla-302917891561&amp;gclid=CjwKCAjw-ZCKBhBkEiwAM4qfF4JplGJPDW_gU0KmLNs2mEePgdSlXZpKMPlgGPwrYK8kxygZ2G4-6xoCar8QAvD_BwE&amp;gclsrc=aw.ds" TargetMode="External"/><Relationship Id="rId5" Type="http://schemas.openxmlformats.org/officeDocument/2006/relationships/hyperlink" Target="https://doi.org/10.1063/1.500204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1469</TotalTime>
  <Pages>3</Pages>
  <Words>559</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students</dc:creator>
  <cp:keywords/>
  <dc:description/>
  <cp:lastModifiedBy>Abri Lukumbi</cp:lastModifiedBy>
  <cp:revision>43</cp:revision>
  <dcterms:created xsi:type="dcterms:W3CDTF">2021-09-15T10:07:00Z</dcterms:created>
  <dcterms:modified xsi:type="dcterms:W3CDTF">2021-09-20T19:42:00Z</dcterms:modified>
</cp:coreProperties>
</file>