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mst0865332yh" w:id="0"/>
      <w:bookmarkEnd w:id="0"/>
      <w:r w:rsidDel="00000000" w:rsidR="00000000" w:rsidRPr="00000000">
        <w:rPr>
          <w:rtl w:val="0"/>
        </w:rPr>
        <w:t xml:space="preserve">Reporte Metodológico: Predicción de Rendimiento de Cebada mediante Modelado Espacial</w:t>
      </w:r>
    </w:p>
    <w:p w:rsidR="00000000" w:rsidDel="00000000" w:rsidP="00000000" w:rsidRDefault="00000000" w:rsidRPr="00000000" w14:paraId="00000002">
      <w:pPr>
        <w:pStyle w:val="Heading1"/>
        <w:rPr/>
      </w:pPr>
      <w:bookmarkStart w:colFirst="0" w:colLast="0" w:name="_9l1mfvv080g4" w:id="1"/>
      <w:bookmarkEnd w:id="1"/>
      <w:r w:rsidDel="00000000" w:rsidR="00000000" w:rsidRPr="00000000">
        <w:rPr>
          <w:rtl w:val="0"/>
        </w:rPr>
        <w:t xml:space="preserve">1. Introducción</w:t>
      </w:r>
    </w:p>
    <w:p w:rsidR="00000000" w:rsidDel="00000000" w:rsidP="00000000" w:rsidRDefault="00000000" w:rsidRPr="00000000" w14:paraId="00000003">
      <w:pPr>
        <w:rPr/>
      </w:pPr>
      <w:r w:rsidDel="00000000" w:rsidR="00000000" w:rsidRPr="00000000">
        <w:rPr>
          <w:rtl w:val="0"/>
        </w:rPr>
        <w:t xml:space="preserve">La predicción precisa del rendimiento agrícola es un pilar fundamental para la seguridad alimentaria, la planeación económica y la mitigación de riesgos climáticos. En la región centro de México, el cultivo de cebada representa una actividad económica de alta relevancia, sujeta a una gran variabilidad climática interanual y a prácticas de manejo altamente heterogéneas [1]. El reto AgroCebada plantea la necesidad científica de desarrollar modelos predictivos utilizando datos climáticos, topográficos y de percepción remota (índices de vegetación) sin contar, inherentemente, con variables agronómicas clave a nivel de lote, tales como la variedad de semilla específica, la fecha exacta de siembra, la dosis de fertilización o el historial de rotación de cultivos del suelo.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El presente trabajo describe la metodología adoptada para predecir el rendimiento de 138 parcelas de entrenamiento y generalizar sobre 59 parcelas de evaluación. Inicialmente, el problema de modelado se abordó desde una perspectiva estrictamente biofísica, asumiendo que las series de tiempo de índices satelitales (como NDVI o FAPAR) y las condiciones climáticas dictarían la varianza del rendimiento. Sin embargo, los datos de percepción remota proporcionados en este conjunto, al ser entregados como agregaciones mensuales, presentaron desafíos analíticos significativos para aislar la señal fenológica real del cultivo respecto al ruido de fondo temporal.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Por lo tanto, este documento detalla una transición metodológica hacia un enfoque fuertemente fundamentado en la geoestadística. A través de un análisis espacial profundo, el desarrollo del modelo sugiere que el rendimiento en esta región exhibe una fuerte autocorrelación, estructurada en múltiples escalas. Siguiendo la primera ley de la geografía de Tobler, las parcelas cercanas tienden a presentar rendimientos similares, un fenómeno que los modelos de Machine Learning de caja negra suelen aprovechar como atajos matemáticos. Este reporte documenta el proceso sistemático para auditar dichas fugas espaciales, separar la interpolación geográfica de la predicción satelital y entregar un ensamble cuyas métricas, limitaciones y grados de incertidumbre operan bajo un marco de total transparencia analítica [2].</w:t>
      </w:r>
    </w:p>
    <w:p w:rsidR="00000000" w:rsidDel="00000000" w:rsidP="00000000" w:rsidRDefault="00000000" w:rsidRPr="00000000" w14:paraId="00000008">
      <w:pPr>
        <w:pStyle w:val="Heading1"/>
        <w:rPr/>
      </w:pPr>
      <w:bookmarkStart w:colFirst="0" w:colLast="0" w:name="_9fihgfprw6gj" w:id="2"/>
      <w:bookmarkEnd w:id="2"/>
      <w:r w:rsidDel="00000000" w:rsidR="00000000" w:rsidRPr="00000000">
        <w:rPr>
          <w:rtl w:val="0"/>
        </w:rPr>
        <w:t xml:space="preserve">2. Justificación</w:t>
      </w:r>
    </w:p>
    <w:p w:rsidR="00000000" w:rsidDel="00000000" w:rsidP="00000000" w:rsidRDefault="00000000" w:rsidRPr="00000000" w14:paraId="00000009">
      <w:pPr>
        <w:rPr/>
      </w:pPr>
      <w:r w:rsidDel="00000000" w:rsidR="00000000" w:rsidRPr="00000000">
        <w:rPr>
          <w:rtl w:val="0"/>
        </w:rPr>
        <w:t xml:space="preserve">En el ámbito del aprendizaje automático aplicado a la agricultura de precisión, es común que algoritmos altamente parametrizados (como ensambles de árboles de decisión o redes neuronales profundas) confundan la autocorrelación espacial con verdaderas relaciones causales biológicas. Si un modelo predice correctamente el rendimiento de una parcela basándose de forma indirecta en el clima de su ubicación, es un imperativo metodológico demostrar si el algoritmo procesó el efecto fisiológico del clima sobre la planta, o si simplemente memorizó la ubicación geográfica a través de variables altamente correlacionadas.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La justificación central de esta arquitectura de modelado radica en separar rigurosamente la capacidad de interpolación espacial del verdadero aporte predictivo de las variables de percepción remota. Adoptar este rigor previene el sobreajuste espacial y permite entregar un modelo cuyas fronteras de generalización están documentadas cuantitativamente. Presentar un modelo reconociendo sus limitaciones espaciales ofrece estimaciones de error realistas y defendibles para su eventual despliegue en herramientas de toma de decisiones o tasación de riesgos.</w:t>
      </w:r>
    </w:p>
    <w:p w:rsidR="00000000" w:rsidDel="00000000" w:rsidP="00000000" w:rsidRDefault="00000000" w:rsidRPr="00000000" w14:paraId="0000000C">
      <w:pPr>
        <w:pStyle w:val="Heading1"/>
        <w:rPr/>
      </w:pPr>
      <w:bookmarkStart w:colFirst="0" w:colLast="0" w:name="_62gmp23bs7yg" w:id="3"/>
      <w:bookmarkEnd w:id="3"/>
      <w:r w:rsidDel="00000000" w:rsidR="00000000" w:rsidRPr="00000000">
        <w:rPr>
          <w:rtl w:val="0"/>
        </w:rPr>
        <w:t xml:space="preserve">3. Objetivos</w:t>
      </w:r>
    </w:p>
    <w:p w:rsidR="00000000" w:rsidDel="00000000" w:rsidP="00000000" w:rsidRDefault="00000000" w:rsidRPr="00000000" w14:paraId="0000000D">
      <w:pPr>
        <w:rPr/>
      </w:pPr>
      <w:r w:rsidDel="00000000" w:rsidR="00000000" w:rsidRPr="00000000">
        <w:rPr>
          <w:rtl w:val="0"/>
        </w:rPr>
        <w:t xml:space="preserve">Objetivo General:</w:t>
        <w:br w:type="textWrapping"/>
        <w:t xml:space="preserve">Desarrollar y evaluar un modelo predictivo para la estimación de rendimiento de cebada (t/ha) que integre información climática, topográfica y satelital, cuantificando estadísticamente el peso relativo de la ubicación geográfica frente a las variables agronómicas derivadas de percepción remota.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Objetivos Específicos:</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5"/>
        </w:numPr>
        <w:ind w:left="720" w:hanging="360"/>
      </w:pPr>
      <w:r w:rsidDel="00000000" w:rsidR="00000000" w:rsidRPr="00000000">
        <w:rPr>
          <w:rtl w:val="0"/>
        </w:rPr>
        <w:t xml:space="preserve">Implementar esquemas de validación cruzada y validación espacial estricta (Leave-One-Group-Out) para distinguir rigurosamente entre la interpolación local y la capacidad de generalización regional.</w:t>
      </w:r>
    </w:p>
    <w:p w:rsidR="00000000" w:rsidDel="00000000" w:rsidP="00000000" w:rsidRDefault="00000000" w:rsidRPr="00000000" w14:paraId="00000012">
      <w:pPr>
        <w:numPr>
          <w:ilvl w:val="0"/>
          <w:numId w:val="5"/>
        </w:numPr>
        <w:ind w:left="720" w:hanging="360"/>
      </w:pPr>
      <w:r w:rsidDel="00000000" w:rsidR="00000000" w:rsidRPr="00000000">
        <w:rPr>
          <w:rtl w:val="0"/>
        </w:rPr>
        <w:t xml:space="preserve">Extraer características físicas derivadas, como integrales del dosel y cocientes simples de estrés, para aproximar las series de tiempo de vegetación de manera interpretable.</w:t>
      </w:r>
    </w:p>
    <w:p w:rsidR="00000000" w:rsidDel="00000000" w:rsidP="00000000" w:rsidRDefault="00000000" w:rsidRPr="00000000" w14:paraId="00000013">
      <w:pPr>
        <w:numPr>
          <w:ilvl w:val="0"/>
          <w:numId w:val="5"/>
        </w:numPr>
        <w:ind w:left="720" w:hanging="360"/>
      </w:pPr>
      <w:r w:rsidDel="00000000" w:rsidR="00000000" w:rsidRPr="00000000">
        <w:rPr>
          <w:rtl w:val="0"/>
        </w:rPr>
        <w:t xml:space="preserve">Cuantificar la estructura de correlación espacial regional y las estimaciones de varianza irreducible mediante herramientas geoestadísticas (semivariograma empírico).</w:t>
      </w:r>
    </w:p>
    <w:p w:rsidR="00000000" w:rsidDel="00000000" w:rsidP="00000000" w:rsidRDefault="00000000" w:rsidRPr="00000000" w14:paraId="00000014">
      <w:pPr>
        <w:numPr>
          <w:ilvl w:val="0"/>
          <w:numId w:val="5"/>
        </w:numPr>
        <w:ind w:left="720" w:hanging="360"/>
      </w:pPr>
      <w:r w:rsidDel="00000000" w:rsidR="00000000" w:rsidRPr="00000000">
        <w:rPr>
          <w:rtl w:val="0"/>
        </w:rPr>
        <w:t xml:space="preserve">Evaluar el aporte neto de los índices satelitales aislando la ubicación geográfica (análisis de residuos e importancia por permutación), seleccionando el modelo final bajo un criterio de retención metodológica predefinido.</w:t>
      </w:r>
    </w:p>
    <w:p w:rsidR="00000000" w:rsidDel="00000000" w:rsidP="00000000" w:rsidRDefault="00000000" w:rsidRPr="00000000" w14:paraId="00000015">
      <w:pPr>
        <w:pStyle w:val="Heading1"/>
        <w:rPr/>
      </w:pPr>
      <w:bookmarkStart w:colFirst="0" w:colLast="0" w:name="_2329htp4m16v" w:id="4"/>
      <w:bookmarkEnd w:id="4"/>
      <w:r w:rsidDel="00000000" w:rsidR="00000000" w:rsidRPr="00000000">
        <w:rPr>
          <w:rtl w:val="0"/>
        </w:rPr>
        <w:t xml:space="preserve">4. Metodología</w:t>
      </w:r>
    </w:p>
    <w:p w:rsidR="00000000" w:rsidDel="00000000" w:rsidP="00000000" w:rsidRDefault="00000000" w:rsidRPr="00000000" w14:paraId="00000016">
      <w:pPr>
        <w:pStyle w:val="Heading2"/>
        <w:rPr/>
      </w:pPr>
      <w:bookmarkStart w:colFirst="0" w:colLast="0" w:name="_vrd3g5a2gqym" w:id="5"/>
      <w:bookmarkEnd w:id="5"/>
      <w:r w:rsidDel="00000000" w:rsidR="00000000" w:rsidRPr="00000000">
        <w:rPr>
          <w:rtl w:val="0"/>
        </w:rPr>
        <w:t xml:space="preserve">4.1 Datos y Preprocesamiento</w:t>
      </w:r>
    </w:p>
    <w:p w:rsidR="00000000" w:rsidDel="00000000" w:rsidP="00000000" w:rsidRDefault="00000000" w:rsidRPr="00000000" w14:paraId="00000017">
      <w:pPr>
        <w:rPr/>
      </w:pPr>
      <w:r w:rsidDel="00000000" w:rsidR="00000000" w:rsidRPr="00000000">
        <w:rPr>
          <w:rtl w:val="0"/>
        </w:rPr>
        <w:t xml:space="preserve">El modelado se basó en el conjunto de datos de AgroCebada, el cual comprende información espacial, topográfica, climática (CHIRPS/CHIRTS) [3] y series temporales de satélite (colecciones PRO y Básico) correspondientes a la ventana agrícola de abril a octubre de 2025. Según la guía de datos, los sensores crudos registraron cientos de observaciones por parcela (hasta 692 capturas en la colección Básico); no obstante, los datos disponibles para el modelado fueron pre-agregados mensualmente.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El preprocesamiento para garantizar la calidad de los datos incluyó:</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Limpieza de anomalías físicas, eliminando valores negativos en índices como el Índice de Área Foliar (LAI) y estandarizando los valores </w:t>
      </w:r>
      <w:r w:rsidDel="00000000" w:rsidR="00000000" w:rsidRPr="00000000">
        <w:rPr>
          <w:rFonts w:ascii="Roboto Mono" w:cs="Roboto Mono" w:eastAsia="Roboto Mono" w:hAnsi="Roboto Mono"/>
          <w:color w:val="188038"/>
          <w:rtl w:val="0"/>
        </w:rPr>
        <w:t xml:space="preserve">NoData</w:t>
      </w:r>
      <w:r w:rsidDel="00000000" w:rsidR="00000000" w:rsidRPr="00000000">
        <w:rPr>
          <w:rtl w:val="0"/>
        </w:rPr>
        <w:t xml:space="preserve"> como variables nulas (</w:t>
      </w:r>
      <w:r w:rsidDel="00000000" w:rsidR="00000000" w:rsidRPr="00000000">
        <w:rPr>
          <w:rFonts w:ascii="Roboto Mono" w:cs="Roboto Mono" w:eastAsia="Roboto Mono" w:hAnsi="Roboto Mono"/>
          <w:color w:val="188038"/>
          <w:rtl w:val="0"/>
        </w:rPr>
        <w:t xml:space="preserve">NaN</w:t>
      </w:r>
      <w:r w:rsidDel="00000000" w:rsidR="00000000" w:rsidRPr="00000000">
        <w:rPr>
          <w:rtl w:val="0"/>
        </w:rPr>
        <w:t xml:space="preserve">) para su posterior imputación algorítmica.</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Reproyección de las coordenadas geográficas del sistema nativo WGS84 (EPSG:4326) al sistema proyectado UTM Zona 14N (EPSG:32614). Esta transformación fue indispensable para permitir el cálculo de matrices de distancias euclidianas precisas en metros para el análisis geoestadístico.</w:t>
      </w:r>
    </w:p>
    <w:p w:rsidR="00000000" w:rsidDel="00000000" w:rsidP="00000000" w:rsidRDefault="00000000" w:rsidRPr="00000000" w14:paraId="0000001D">
      <w:pPr>
        <w:pStyle w:val="Heading2"/>
        <w:rPr/>
      </w:pPr>
      <w:bookmarkStart w:colFirst="0" w:colLast="0" w:name="_38lceoo3apls" w:id="6"/>
      <w:bookmarkEnd w:id="6"/>
      <w:r w:rsidDel="00000000" w:rsidR="00000000" w:rsidRPr="00000000">
        <w:rPr>
          <w:rtl w:val="0"/>
        </w:rPr>
        <w:t xml:space="preserve">4.2 Ingeniería de Variables Físicas</w:t>
      </w:r>
    </w:p>
    <w:p w:rsidR="00000000" w:rsidDel="00000000" w:rsidP="00000000" w:rsidRDefault="00000000" w:rsidRPr="00000000" w14:paraId="0000001E">
      <w:pPr>
        <w:rPr/>
      </w:pPr>
      <w:r w:rsidDel="00000000" w:rsidR="00000000" w:rsidRPr="00000000">
        <w:rPr>
          <w:rtl w:val="0"/>
        </w:rPr>
        <w:t xml:space="preserve">Se transicionó del uso de agregaciones estadísticas ciegas a variables con aproximación fenológica: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2"/>
        </w:numPr>
        <w:ind w:left="720" w:hanging="360"/>
      </w:pPr>
      <w:r w:rsidDel="00000000" w:rsidR="00000000" w:rsidRPr="00000000">
        <w:rPr>
          <w:b w:val="1"/>
          <w:bCs w:val="1"/>
          <w:rtl w:val="0"/>
        </w:rPr>
        <w:t xml:space="preserve">Integral del Dosel:</w:t>
      </w:r>
      <w:r w:rsidDel="00000000" w:rsidR="00000000" w:rsidRPr="00000000">
        <w:rPr>
          <w:rtl w:val="0"/>
        </w:rPr>
        <w:t xml:space="preserve"> Se calculó la sumatoria estacional de los promedios mensuales de FAPAR y NDVI. Al derivarse de promedios mensuales pre-agregados, funciona como un proxy de la radiación interceptada. Se documenta que una integral trapezoidal aplicada sobre las fechas irregulares de las capturas crudas representaría un método físicamente más riguroso para futuras iteraciones.</w:t>
      </w:r>
    </w:p>
    <w:p w:rsidR="00000000" w:rsidDel="00000000" w:rsidP="00000000" w:rsidRDefault="00000000" w:rsidRPr="00000000" w14:paraId="00000021">
      <w:pPr>
        <w:numPr>
          <w:ilvl w:val="0"/>
          <w:numId w:val="2"/>
        </w:numPr>
        <w:ind w:left="720" w:hanging="360"/>
      </w:pPr>
      <w:r w:rsidDel="00000000" w:rsidR="00000000" w:rsidRPr="00000000">
        <w:rPr>
          <w:b w:val="1"/>
          <w:bCs w:val="1"/>
          <w:rtl w:val="0"/>
        </w:rPr>
        <w:t xml:space="preserve">Fenología:</w:t>
      </w:r>
      <w:r w:rsidDel="00000000" w:rsidR="00000000" w:rsidRPr="00000000">
        <w:rPr>
          <w:rtl w:val="0"/>
        </w:rPr>
        <w:t xml:space="preserve"> Se extrajo el "Mes Pico de NDVI" (índice del valor máximo) para capturar diferencias temporales en los ciclos de floración.</w:t>
      </w:r>
    </w:p>
    <w:p w:rsidR="00000000" w:rsidDel="00000000" w:rsidP="00000000" w:rsidRDefault="00000000" w:rsidRPr="00000000" w14:paraId="00000022">
      <w:pPr>
        <w:numPr>
          <w:ilvl w:val="0"/>
          <w:numId w:val="2"/>
        </w:numPr>
        <w:ind w:left="720" w:hanging="360"/>
      </w:pPr>
      <w:r w:rsidDel="00000000" w:rsidR="00000000" w:rsidRPr="00000000">
        <w:rPr>
          <w:b w:val="1"/>
          <w:bCs w:val="1"/>
          <w:rtl w:val="0"/>
        </w:rPr>
        <w:t xml:space="preserve">Cociente Simple de Estrés:</w:t>
      </w:r>
      <w:r w:rsidDel="00000000" w:rsidR="00000000" w:rsidRPr="00000000">
        <w:rPr>
          <w:rtl w:val="0"/>
        </w:rPr>
        <w:t xml:space="preserve"> Se estableció una relación básica dividiendo la precipitación acumulada en la ventana de llenado de grano (julio-septiembre) entre la Temperatura Máxima media del mismo periodo, fungiendo como aproximación heurística al estrés hídrico.</w:t>
      </w:r>
    </w:p>
    <w:p w:rsidR="00000000" w:rsidDel="00000000" w:rsidP="00000000" w:rsidRDefault="00000000" w:rsidRPr="00000000" w14:paraId="00000023">
      <w:pPr>
        <w:pStyle w:val="Heading2"/>
        <w:rPr/>
      </w:pPr>
      <w:bookmarkStart w:colFirst="0" w:colLast="0" w:name="_bcuggoco2ibp" w:id="7"/>
      <w:bookmarkEnd w:id="7"/>
      <w:r w:rsidDel="00000000" w:rsidR="00000000" w:rsidRPr="00000000">
        <w:rPr>
          <w:rtl w:val="0"/>
        </w:rPr>
        <w:t xml:space="preserve">4.3 Arquitectura del Pipeline y Reproducibilidad</w:t>
      </w:r>
    </w:p>
    <w:p w:rsidR="00000000" w:rsidDel="00000000" w:rsidP="00000000" w:rsidRDefault="00000000" w:rsidRPr="00000000" w14:paraId="00000024">
      <w:pPr>
        <w:rPr/>
      </w:pPr>
      <w:r w:rsidDel="00000000" w:rsidR="00000000" w:rsidRPr="00000000">
        <w:rPr>
          <w:rtl w:val="0"/>
        </w:rPr>
        <w:t xml:space="preserve">Para prevenir el optimismo derivado de la fuga de información, todas las etapas de transformación se encapsularon en un objeto </w:t>
      </w:r>
      <w:r w:rsidDel="00000000" w:rsidR="00000000" w:rsidRPr="00000000">
        <w:rPr>
          <w:rFonts w:ascii="Roboto Mono" w:cs="Roboto Mono" w:eastAsia="Roboto Mono" w:hAnsi="Roboto Mono"/>
          <w:color w:val="188038"/>
          <w:rtl w:val="0"/>
        </w:rPr>
        <w:t xml:space="preserve">Pipeline</w:t>
      </w:r>
      <w:r w:rsidDel="00000000" w:rsidR="00000000" w:rsidRPr="00000000">
        <w:rPr>
          <w:rtl w:val="0"/>
        </w:rPr>
        <w:t xml:space="preserve"> de la librería Scikit-learn [4]:</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8"/>
        </w:numPr>
        <w:ind w:left="720" w:hanging="360"/>
      </w:pPr>
      <w:r w:rsidDel="00000000" w:rsidR="00000000" w:rsidRPr="00000000">
        <w:rPr>
          <w:b w:val="1"/>
          <w:bCs w:val="1"/>
          <w:rtl w:val="0"/>
        </w:rPr>
        <w:t xml:space="preserve">Imputación y Escalado:</w:t>
      </w:r>
      <w:r w:rsidDel="00000000" w:rsidR="00000000" w:rsidRPr="00000000">
        <w:rPr>
          <w:rtl w:val="0"/>
        </w:rPr>
        <w:t xml:space="preserve"> Valores nulos imputados mediante la mediana del conjunto de entrenamiento activo; estandarización con </w:t>
      </w:r>
      <w:r w:rsidDel="00000000" w:rsidR="00000000" w:rsidRPr="00000000">
        <w:rPr>
          <w:rFonts w:ascii="Roboto Mono" w:cs="Roboto Mono" w:eastAsia="Roboto Mono" w:hAnsi="Roboto Mono"/>
          <w:color w:val="188038"/>
          <w:rtl w:val="0"/>
        </w:rPr>
        <w:t xml:space="preserve">StandardScaler</w:t>
      </w:r>
      <w:r w:rsidDel="00000000" w:rsidR="00000000" w:rsidRPr="00000000">
        <w:rPr>
          <w:rtl w:val="0"/>
        </w:rPr>
        <w:t xml:space="preserve">.</w:t>
      </w:r>
    </w:p>
    <w:p w:rsidR="00000000" w:rsidDel="00000000" w:rsidP="00000000" w:rsidRDefault="00000000" w:rsidRPr="00000000" w14:paraId="00000027">
      <w:pPr>
        <w:numPr>
          <w:ilvl w:val="0"/>
          <w:numId w:val="8"/>
        </w:numPr>
        <w:ind w:left="720" w:hanging="360"/>
      </w:pPr>
      <w:r w:rsidDel="00000000" w:rsidR="00000000" w:rsidRPr="00000000">
        <w:rPr>
          <w:b w:val="1"/>
          <w:bCs w:val="1"/>
          <w:rtl w:val="0"/>
        </w:rPr>
        <w:t xml:space="preserve">Selección:</w:t>
      </w:r>
      <w:r w:rsidDel="00000000" w:rsidR="00000000" w:rsidRPr="00000000">
        <w:rPr>
          <w:rtl w:val="0"/>
        </w:rPr>
        <w:t xml:space="preserve"> Filtrado </w:t>
      </w:r>
      <w:r w:rsidDel="00000000" w:rsidR="00000000" w:rsidRPr="00000000">
        <w:rPr>
          <w:rFonts w:ascii="Roboto Mono" w:cs="Roboto Mono" w:eastAsia="Roboto Mono" w:hAnsi="Roboto Mono"/>
          <w:color w:val="188038"/>
          <w:rtl w:val="0"/>
        </w:rPr>
        <w:t xml:space="preserve">SelectKBest</w:t>
      </w:r>
      <w:r w:rsidDel="00000000" w:rsidR="00000000" w:rsidRPr="00000000">
        <w:rPr>
          <w:rtl w:val="0"/>
        </w:rPr>
        <w:t xml:space="preserve"> (k=20) utilizando regresión de información mutua.</w:t>
      </w:r>
    </w:p>
    <w:p w:rsidR="00000000" w:rsidDel="00000000" w:rsidP="00000000" w:rsidRDefault="00000000" w:rsidRPr="00000000" w14:paraId="00000028">
      <w:pPr>
        <w:numPr>
          <w:ilvl w:val="0"/>
          <w:numId w:val="8"/>
        </w:numPr>
        <w:ind w:left="720" w:hanging="360"/>
      </w:pPr>
      <w:r w:rsidDel="00000000" w:rsidR="00000000" w:rsidRPr="00000000">
        <w:rPr>
          <w:b w:val="1"/>
          <w:bCs w:val="1"/>
          <w:rtl w:val="0"/>
        </w:rPr>
        <w:t xml:space="preserve">Modelos Base:</w:t>
      </w:r>
      <w:r w:rsidDel="00000000" w:rsidR="00000000" w:rsidRPr="00000000">
        <w:rPr>
          <w:rtl w:val="0"/>
        </w:rPr>
        <w:t xml:space="preserve"> Se configuraron un modelo K-Nearest Neighbors (k=5, pesos por distancia) operando exclusivamente sobre Latitud/Longitud previamente escaladas, y un </w:t>
      </w:r>
      <w:r w:rsidDel="00000000" w:rsidR="00000000" w:rsidRPr="00000000">
        <w:rPr>
          <w:rFonts w:ascii="Roboto Mono" w:cs="Roboto Mono" w:eastAsia="Roboto Mono" w:hAnsi="Roboto Mono"/>
          <w:color w:val="188038"/>
          <w:rtl w:val="0"/>
        </w:rPr>
        <w:t xml:space="preserve">HistGradientBoostingRegressor</w:t>
      </w:r>
      <w:r w:rsidDel="00000000" w:rsidR="00000000" w:rsidRPr="00000000">
        <w:rPr>
          <w:rtl w:val="0"/>
        </w:rPr>
        <w:t xml:space="preserve"> (tasa de aprendizaje 0.06, máximo de nodos hoja 15, mínimo de muestras por hoja 5, L2=8.0, semilla 2026).</w:t>
      </w:r>
    </w:p>
    <w:p w:rsidR="00000000" w:rsidDel="00000000" w:rsidP="00000000" w:rsidRDefault="00000000" w:rsidRPr="00000000" w14:paraId="00000029">
      <w:pPr>
        <w:numPr>
          <w:ilvl w:val="0"/>
          <w:numId w:val="8"/>
        </w:numPr>
        <w:ind w:left="720" w:hanging="360"/>
      </w:pPr>
      <w:r w:rsidDel="00000000" w:rsidR="00000000" w:rsidRPr="00000000">
        <w:rPr>
          <w:b w:val="1"/>
          <w:bCs w:val="1"/>
          <w:rtl w:val="0"/>
        </w:rPr>
        <w:t xml:space="preserve">Ensamble Final:</w:t>
      </w:r>
      <w:r w:rsidDel="00000000" w:rsidR="00000000" w:rsidRPr="00000000">
        <w:rPr>
          <w:rtl w:val="0"/>
        </w:rPr>
        <w:t xml:space="preserve"> Un </w:t>
      </w:r>
      <w:r w:rsidDel="00000000" w:rsidR="00000000" w:rsidRPr="00000000">
        <w:rPr>
          <w:rFonts w:ascii="Roboto Mono" w:cs="Roboto Mono" w:eastAsia="Roboto Mono" w:hAnsi="Roboto Mono"/>
          <w:color w:val="188038"/>
          <w:rtl w:val="0"/>
        </w:rPr>
        <w:t xml:space="preserve">VotingRegressor</w:t>
      </w:r>
      <w:r w:rsidDel="00000000" w:rsidR="00000000" w:rsidRPr="00000000">
        <w:rPr>
          <w:rtl w:val="0"/>
        </w:rPr>
        <w:t xml:space="preserve"> promediando ambos modelos base con pesos idénticos (50/50).</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La evaluación se realizó mediante Validación Cruzada Repetida (</w:t>
      </w:r>
      <w:r w:rsidDel="00000000" w:rsidR="00000000" w:rsidRPr="00000000">
        <w:rPr>
          <w:rFonts w:ascii="Roboto Mono" w:cs="Roboto Mono" w:eastAsia="Roboto Mono" w:hAnsi="Roboto Mono"/>
          <w:color w:val="188038"/>
          <w:rtl w:val="0"/>
        </w:rPr>
        <w:t xml:space="preserve">RepeatedKFold</w:t>
      </w:r>
      <w:r w:rsidDel="00000000" w:rsidR="00000000" w:rsidRPr="00000000">
        <w:rPr>
          <w:rtl w:val="0"/>
        </w:rPr>
        <w:t xml:space="preserve">, 5 particiones, 3 repeticiones, semilla 999) y Validación Espacial estricta aislando municipios (Leave-One-Group-Out, LOGO).</w:t>
      </w:r>
    </w:p>
    <w:p w:rsidR="00000000" w:rsidDel="00000000" w:rsidP="00000000" w:rsidRDefault="00000000" w:rsidRPr="00000000" w14:paraId="0000002C">
      <w:pPr>
        <w:pStyle w:val="Heading1"/>
        <w:rPr/>
      </w:pPr>
      <w:bookmarkStart w:colFirst="0" w:colLast="0" w:name="_ep9xvptnnfgt" w:id="8"/>
      <w:bookmarkEnd w:id="8"/>
      <w:r w:rsidDel="00000000" w:rsidR="00000000" w:rsidRPr="00000000">
        <w:rPr>
          <w:rtl w:val="0"/>
        </w:rPr>
        <w:t xml:space="preserve">5. Resultados y Discusión</w:t>
      </w:r>
    </w:p>
    <w:p w:rsidR="00000000" w:rsidDel="00000000" w:rsidP="00000000" w:rsidRDefault="00000000" w:rsidRPr="00000000" w14:paraId="0000002D">
      <w:pPr>
        <w:pStyle w:val="Heading2"/>
        <w:rPr/>
      </w:pPr>
      <w:bookmarkStart w:colFirst="0" w:colLast="0" w:name="_akojx4gb0bce" w:id="9"/>
      <w:bookmarkEnd w:id="9"/>
      <w:r w:rsidDel="00000000" w:rsidR="00000000" w:rsidRPr="00000000">
        <w:rPr>
          <w:rtl w:val="0"/>
        </w:rPr>
        <w:t xml:space="preserve">5.1 Geoestadística: Estructura a Múltiples Escalas</w:t>
      </w:r>
    </w:p>
    <w:p w:rsidR="00000000" w:rsidDel="00000000" w:rsidP="00000000" w:rsidRDefault="00000000" w:rsidRPr="00000000" w14:paraId="0000002E">
      <w:pPr>
        <w:rPr/>
      </w:pPr>
      <w:r w:rsidDel="00000000" w:rsidR="00000000" w:rsidRPr="00000000">
        <w:rPr>
          <w:rtl w:val="0"/>
        </w:rPr>
        <w:t xml:space="preserve">El rendimiento de cebada exhibió una varianza global de 0.7192 $(t/ha)^2$ (</w:t>
      </w:r>
      <w:r w:rsidDel="00000000" w:rsidR="00000000" w:rsidRPr="00000000">
        <w:rPr>
          <w:i w:val="1"/>
          <w:iCs w:val="1"/>
          <w:rtl w:val="0"/>
        </w:rPr>
        <w:t xml:space="preserve">sill</w:t>
      </w:r>
      <w:r w:rsidDel="00000000" w:rsidR="00000000" w:rsidRPr="00000000">
        <w:rPr>
          <w:rtl w:val="0"/>
        </w:rPr>
        <w:t xml:space="preserve"> aproximado) y una desviación estándar de 0.8481 t/ha. El semivariograma empírico, calculado con intervalos (bins) finos, reveló la siguiente dependencia espacial:</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numPr>
          <w:ilvl w:val="0"/>
          <w:numId w:val="7"/>
        </w:numPr>
        <w:ind w:left="720" w:hanging="360"/>
      </w:pPr>
      <w:r w:rsidDel="00000000" w:rsidR="00000000" w:rsidRPr="00000000">
        <w:rPr>
          <w:b w:val="1"/>
          <w:bCs w:val="1"/>
          <w:rtl w:val="0"/>
        </w:rPr>
        <w:t xml:space="preserve">&lt; 250m:</w:t>
      </w:r>
      <w:r w:rsidDel="00000000" w:rsidR="00000000" w:rsidRPr="00000000">
        <w:rPr>
          <w:rtl w:val="0"/>
        </w:rPr>
        <w:t xml:space="preserve"> Semivarianza = 0.0897 $(t/ha)^2$</w:t>
      </w:r>
    </w:p>
    <w:p w:rsidR="00000000" w:rsidDel="00000000" w:rsidP="00000000" w:rsidRDefault="00000000" w:rsidRPr="00000000" w14:paraId="00000031">
      <w:pPr>
        <w:numPr>
          <w:ilvl w:val="0"/>
          <w:numId w:val="7"/>
        </w:numPr>
        <w:ind w:left="720" w:hanging="360"/>
      </w:pPr>
      <w:r w:rsidDel="00000000" w:rsidR="00000000" w:rsidRPr="00000000">
        <w:rPr>
          <w:b w:val="1"/>
          <w:bCs w:val="1"/>
          <w:rtl w:val="0"/>
        </w:rPr>
        <w:t xml:space="preserve">500m - 1km:</w:t>
      </w:r>
      <w:r w:rsidDel="00000000" w:rsidR="00000000" w:rsidRPr="00000000">
        <w:rPr>
          <w:rtl w:val="0"/>
        </w:rPr>
        <w:t xml:space="preserve"> Semivarianza = 0.3458 $(t/ha)^2$</w:t>
      </w:r>
    </w:p>
    <w:p w:rsidR="00000000" w:rsidDel="00000000" w:rsidP="00000000" w:rsidRDefault="00000000" w:rsidRPr="00000000" w14:paraId="00000032">
      <w:pPr>
        <w:numPr>
          <w:ilvl w:val="0"/>
          <w:numId w:val="7"/>
        </w:numPr>
        <w:ind w:left="720" w:hanging="360"/>
      </w:pPr>
      <w:r w:rsidDel="00000000" w:rsidR="00000000" w:rsidRPr="00000000">
        <w:rPr>
          <w:b w:val="1"/>
          <w:bCs w:val="1"/>
          <w:rtl w:val="0"/>
        </w:rPr>
        <w:t xml:space="preserve">5km - 10km:</w:t>
      </w:r>
      <w:r w:rsidDel="00000000" w:rsidR="00000000" w:rsidRPr="00000000">
        <w:rPr>
          <w:rtl w:val="0"/>
        </w:rPr>
        <w:t xml:space="preserve"> Semivarianza = 0.2240 $(t/ha)^2$</w:t>
      </w:r>
    </w:p>
    <w:p w:rsidR="00000000" w:rsidDel="00000000" w:rsidP="00000000" w:rsidRDefault="00000000" w:rsidRPr="00000000" w14:paraId="00000033">
      <w:pPr>
        <w:numPr>
          <w:ilvl w:val="0"/>
          <w:numId w:val="7"/>
        </w:numPr>
        <w:ind w:left="720" w:hanging="360"/>
      </w:pPr>
      <w:r w:rsidDel="00000000" w:rsidR="00000000" w:rsidRPr="00000000">
        <w:rPr>
          <w:b w:val="1"/>
          <w:bCs w:val="1"/>
          <w:rtl w:val="0"/>
        </w:rPr>
        <w:t xml:space="preserve">10km - 25km:</w:t>
      </w:r>
      <w:r w:rsidDel="00000000" w:rsidR="00000000" w:rsidRPr="00000000">
        <w:rPr>
          <w:rtl w:val="0"/>
        </w:rPr>
        <w:t xml:space="preserve"> Semivarianza = 0.8767 $(t/ha)^2$</w:t>
      </w:r>
    </w:p>
    <w:p w:rsidR="00000000" w:rsidDel="00000000" w:rsidP="00000000" w:rsidRDefault="00000000" w:rsidRPr="00000000" w14:paraId="00000034">
      <w:pPr>
        <w:numPr>
          <w:ilvl w:val="0"/>
          <w:numId w:val="7"/>
        </w:numPr>
        <w:ind w:left="720" w:hanging="360"/>
      </w:pPr>
      <w:r w:rsidDel="00000000" w:rsidR="00000000" w:rsidRPr="00000000">
        <w:rPr>
          <w:b w:val="1"/>
          <w:bCs w:val="1"/>
          <w:rtl w:val="0"/>
        </w:rPr>
        <w:t xml:space="preserve">&gt; 25km:</w:t>
      </w:r>
      <w:r w:rsidDel="00000000" w:rsidR="00000000" w:rsidRPr="00000000">
        <w:rPr>
          <w:rtl w:val="0"/>
        </w:rPr>
        <w:t xml:space="preserve"> Semivarianza = 1.0614 $(t/ha)^2$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La semivarianza a distancias menores a 250m representa una cota superior para el "efecto pepita" equivalente a ~12.5% de la varianza total. Considerando que los pares evaluados en este rango pertenecen a parcelas distintas, este valor sugiere una alta similitud de rendimientos entre vecinos inmediatos. A distancias superiores a 25 km, la semivarianza (1.06) supera el techo de la varianza global (0.71), indicando una clara tendencia regional o no estacionariedad (gradientes macroclimáticos).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Para discriminar si las divisiones administrativas aportaban correlación structural, se extrajeron pares de parcelas separados entre 2 y 10 km. Los pares pertenecientes al mismo municipio (n=4824) promediaron diferencias de 0.5488 t/ha (IC 95%: [0.533, 0.563]), mientras que pares en municipios distintos (n=1416) promediaron 0.4248 t/ha (IC 95%: [0.401, 0.448]). Contrario a lo esperado, pertenecer al mismo municipio no disminuyó el error relativo; la estructura depende de gradientes no observados y no de fronteras administrativas.</w:t>
      </w:r>
    </w:p>
    <w:p w:rsidR="00000000" w:rsidDel="00000000" w:rsidP="00000000" w:rsidRDefault="00000000" w:rsidRPr="00000000" w14:paraId="00000039">
      <w:pPr>
        <w:pStyle w:val="Heading2"/>
        <w:rPr/>
      </w:pPr>
      <w:bookmarkStart w:colFirst="0" w:colLast="0" w:name="_j08r3oqyguoh" w:id="10"/>
      <w:bookmarkEnd w:id="10"/>
      <w:r w:rsidDel="00000000" w:rsidR="00000000" w:rsidRPr="00000000">
        <w:rPr>
          <w:rtl w:val="0"/>
        </w:rPr>
        <w:t xml:space="preserve">5.2 Ablación y Colapso Espacial (LOGO)</w:t>
      </w:r>
    </w:p>
    <w:p w:rsidR="00000000" w:rsidDel="00000000" w:rsidP="00000000" w:rsidRDefault="00000000" w:rsidRPr="00000000" w14:paraId="0000003A">
      <w:pPr>
        <w:rPr/>
      </w:pPr>
      <w:r w:rsidDel="00000000" w:rsidR="00000000" w:rsidRPr="00000000">
        <w:rPr>
          <w:rtl w:val="0"/>
        </w:rPr>
        <w:t xml:space="preserve">Durante la experimentación, se identificó que la variable de "nubosidad" fungía como un proxy de ubicación, correlacionada al 0.82 con la elevación topográfica. Al eliminarla, el MAE del modelo HGB base se degradó a 0.60 t/ha; al sustituirla por coordenadas puras (Lat/Lon), se recuperó la métrica a ~0.41 t/ha.</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La prueba de Validación Espacial estricta (LOGO por municipio) evaluó la extrapolación pura. El Promedio LOGO del modelo predictivo fue de </w:t>
      </w:r>
      <w:r w:rsidDel="00000000" w:rsidR="00000000" w:rsidRPr="00000000">
        <w:rPr>
          <w:b w:val="1"/>
          <w:bCs w:val="1"/>
          <w:rtl w:val="0"/>
        </w:rPr>
        <w:t xml:space="preserve">0.6173 t/ha</w:t>
      </w:r>
      <w:r w:rsidDel="00000000" w:rsidR="00000000" w:rsidRPr="00000000">
        <w:rPr>
          <w:rtl w:val="0"/>
        </w:rPr>
        <w:t xml:space="preserve">, frente a un Dummy LOGO (media) de 0.8912 t/ha. No obstante, el error presenta un comportamiento fuertemente asimétrico condicionado por la región: municipios como Apan o Almoloya lograron MAEs muy bajos, mientras que aislar Singuilucan o Tepeapulco disparó el error por encima de 1.28 t/ha. Esto sugiere que el modelo no logra una generalización agronómica estable en territorios espacialmente aislados.</w:t>
      </w:r>
    </w:p>
    <w:p w:rsidR="00000000" w:rsidDel="00000000" w:rsidP="00000000" w:rsidRDefault="00000000" w:rsidRPr="00000000" w14:paraId="0000003D">
      <w:pPr>
        <w:pStyle w:val="Heading2"/>
        <w:rPr/>
      </w:pPr>
      <w:bookmarkStart w:colFirst="0" w:colLast="0" w:name="_sthxjjmatj49" w:id="11"/>
      <w:bookmarkEnd w:id="11"/>
      <w:r w:rsidDel="00000000" w:rsidR="00000000" w:rsidRPr="00000000">
        <w:rPr>
          <w:rtl w:val="0"/>
        </w:rPr>
        <w:t xml:space="preserve">5.3 Aporte Satelital y Evaluación del Ensamble</w:t>
      </w:r>
    </w:p>
    <w:p w:rsidR="00000000" w:rsidDel="00000000" w:rsidP="00000000" w:rsidRDefault="00000000" w:rsidRPr="00000000" w14:paraId="0000003E">
      <w:pPr>
        <w:rPr/>
      </w:pPr>
      <w:r w:rsidDel="00000000" w:rsidR="00000000" w:rsidRPr="00000000">
        <w:rPr>
          <w:rtl w:val="0"/>
        </w:rPr>
        <w:t xml:space="preserve">Para verificar el aporte perceptivo, se intentó explicar los residuos fuera de muestra del interpolador KNN utilizando exclusivamente índices satelitales. El resultado arrojó un R² de -0.016. Con los datos evaluados, las variables de vegetación no logran aportar información que mejore estadísticamente la base geográfica.</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4000.0" w:type="dxa"/>
        <w:jc w:val="left"/>
        <w:tblBorders>
          <w:top w:color="e9ecef" w:space="0" w:sz="8" w:val="single"/>
          <w:left w:color="000000" w:space="0" w:sz="0" w:val="nil"/>
          <w:bottom w:color="e9ecef" w:space="0" w:sz="8" w:val="single"/>
          <w:right w:color="000000" w:space="0" w:sz="0" w:val="nil"/>
          <w:insideH w:color="e9ecef"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40">
            <w:pPr>
              <w:rPr/>
            </w:pPr>
            <w:r w:rsidDel="00000000" w:rsidR="00000000" w:rsidRPr="00000000">
              <w:rPr>
                <w:rtl w:val="0"/>
              </w:rPr>
              <w:t xml:space="preserve">Modelo Evaluado</w:t>
            </w:r>
          </w:p>
        </w:tc>
        <w:tc>
          <w:tcPr/>
          <w:p w:rsidR="00000000" w:rsidDel="00000000" w:rsidP="00000000" w:rsidRDefault="00000000" w:rsidRPr="00000000" w14:paraId="00000041">
            <w:pPr>
              <w:rPr/>
            </w:pPr>
            <w:r w:rsidDel="00000000" w:rsidR="00000000" w:rsidRPr="00000000">
              <w:rPr>
                <w:rtl w:val="0"/>
              </w:rPr>
              <w:t xml:space="preserve">MAE (t/ha)</w:t>
            </w:r>
          </w:p>
        </w:tc>
        <w:tc>
          <w:tcPr/>
          <w:p w:rsidR="00000000" w:rsidDel="00000000" w:rsidP="00000000" w:rsidRDefault="00000000" w:rsidRPr="00000000" w14:paraId="00000042">
            <w:pPr>
              <w:rPr/>
            </w:pPr>
            <w:r w:rsidDel="00000000" w:rsidR="00000000" w:rsidRPr="00000000">
              <w:rPr>
                <w:rtl w:val="0"/>
              </w:rPr>
              <w:t xml:space="preserve">RMSE (t/ha)</w:t>
            </w:r>
          </w:p>
        </w:tc>
        <w:tc>
          <w:tcPr/>
          <w:p w:rsidR="00000000" w:rsidDel="00000000" w:rsidP="00000000" w:rsidRDefault="00000000" w:rsidRPr="00000000" w14:paraId="00000043">
            <w:pPr>
              <w:rPr/>
            </w:pPr>
            <w:r w:rsidDel="00000000" w:rsidR="00000000" w:rsidRPr="00000000">
              <w:rPr>
                <w:rtl w:val="0"/>
              </w:rPr>
              <w:t xml:space="preserve">R²</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Línea Base (Dummy)</w:t>
            </w:r>
          </w:p>
        </w:tc>
        <w:tc>
          <w:tcPr/>
          <w:p w:rsidR="00000000" w:rsidDel="00000000" w:rsidP="00000000" w:rsidRDefault="00000000" w:rsidRPr="00000000" w14:paraId="00000045">
            <w:pPr>
              <w:rPr/>
            </w:pPr>
            <w:r w:rsidDel="00000000" w:rsidR="00000000" w:rsidRPr="00000000">
              <w:rPr>
                <w:rtl w:val="0"/>
              </w:rPr>
              <w:t xml:space="preserve">~ 0.75</w:t>
            </w:r>
          </w:p>
        </w:tc>
        <w:tc>
          <w:tcPr/>
          <w:p w:rsidR="00000000" w:rsidDel="00000000" w:rsidP="00000000" w:rsidRDefault="00000000" w:rsidRPr="00000000" w14:paraId="00000046">
            <w:pPr>
              <w:rPr/>
            </w:pPr>
            <w:r w:rsidDel="00000000" w:rsidR="00000000" w:rsidRPr="00000000">
              <w:rPr>
                <w:rtl w:val="0"/>
              </w:rPr>
              <w:t xml:space="preserve">~ 0.85</w:t>
            </w:r>
          </w:p>
        </w:tc>
        <w:tc>
          <w:tcPr/>
          <w:p w:rsidR="00000000" w:rsidDel="00000000" w:rsidP="00000000" w:rsidRDefault="00000000" w:rsidRPr="00000000" w14:paraId="00000047">
            <w:pPr>
              <w:rPr/>
            </w:pPr>
            <w:r w:rsidDel="00000000" w:rsidR="00000000" w:rsidRPr="00000000">
              <w:rPr>
                <w:rtl w:val="0"/>
              </w:rPr>
              <w:t xml:space="preserve">0.00</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KNN (Solo Espacial)</w:t>
            </w:r>
          </w:p>
        </w:tc>
        <w:tc>
          <w:tcPr/>
          <w:p w:rsidR="00000000" w:rsidDel="00000000" w:rsidP="00000000" w:rsidRDefault="00000000" w:rsidRPr="00000000" w14:paraId="00000049">
            <w:pPr>
              <w:rPr/>
            </w:pPr>
            <w:r w:rsidDel="00000000" w:rsidR="00000000" w:rsidRPr="00000000">
              <w:rPr>
                <w:rtl w:val="0"/>
              </w:rPr>
              <w:t xml:space="preserve">0.3706 ± 0.0639</w:t>
            </w:r>
          </w:p>
        </w:tc>
        <w:tc>
          <w:tcPr/>
          <w:p w:rsidR="00000000" w:rsidDel="00000000" w:rsidP="00000000" w:rsidRDefault="00000000" w:rsidRPr="00000000" w14:paraId="0000004A">
            <w:pPr>
              <w:rPr/>
            </w:pPr>
            <w:r w:rsidDel="00000000" w:rsidR="00000000" w:rsidRPr="00000000">
              <w:rPr>
                <w:rtl w:val="0"/>
              </w:rPr>
              <w:t xml:space="preserve">0.5101</w:t>
            </w:r>
          </w:p>
        </w:tc>
        <w:tc>
          <w:tcPr/>
          <w:p w:rsidR="00000000" w:rsidDel="00000000" w:rsidP="00000000" w:rsidRDefault="00000000" w:rsidRPr="00000000" w14:paraId="0000004B">
            <w:pPr>
              <w:rPr/>
            </w:pPr>
            <w:r w:rsidDel="00000000" w:rsidR="00000000" w:rsidRPr="00000000">
              <w:rPr>
                <w:rtl w:val="0"/>
              </w:rPr>
              <w:t xml:space="preserve">0.62</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HGB (Satelital + Espacial)</w:t>
            </w:r>
          </w:p>
        </w:tc>
        <w:tc>
          <w:tcPr/>
          <w:p w:rsidR="00000000" w:rsidDel="00000000" w:rsidP="00000000" w:rsidRDefault="00000000" w:rsidRPr="00000000" w14:paraId="0000004D">
            <w:pPr>
              <w:rPr/>
            </w:pPr>
            <w:r w:rsidDel="00000000" w:rsidR="00000000" w:rsidRPr="00000000">
              <w:rPr>
                <w:rtl w:val="0"/>
              </w:rPr>
              <w:t xml:space="preserve">0.4381 ± 0.0688</w:t>
            </w:r>
          </w:p>
        </w:tc>
        <w:tc>
          <w:tcPr/>
          <w:p w:rsidR="00000000" w:rsidDel="00000000" w:rsidP="00000000" w:rsidRDefault="00000000" w:rsidRPr="00000000" w14:paraId="0000004E">
            <w:pPr>
              <w:rPr/>
            </w:pPr>
            <w:r w:rsidDel="00000000" w:rsidR="00000000" w:rsidRPr="00000000">
              <w:rPr>
                <w:rtl w:val="0"/>
              </w:rPr>
              <w:t xml:space="preserve">0.5722</w:t>
            </w:r>
          </w:p>
        </w:tc>
        <w:tc>
          <w:tcPr/>
          <w:p w:rsidR="00000000" w:rsidDel="00000000" w:rsidP="00000000" w:rsidRDefault="00000000" w:rsidRPr="00000000" w14:paraId="0000004F">
            <w:pPr>
              <w:rPr/>
            </w:pPr>
            <w:r w:rsidDel="00000000" w:rsidR="00000000" w:rsidRPr="00000000">
              <w:rPr>
                <w:rtl w:val="0"/>
              </w:rPr>
              <w:t xml:space="preserve">0.52</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Ensamble Promedio</w:t>
            </w:r>
          </w:p>
        </w:tc>
        <w:tc>
          <w:tcPr/>
          <w:p w:rsidR="00000000" w:rsidDel="00000000" w:rsidP="00000000" w:rsidRDefault="00000000" w:rsidRPr="00000000" w14:paraId="00000051">
            <w:pPr>
              <w:rPr/>
            </w:pPr>
            <w:r w:rsidDel="00000000" w:rsidR="00000000" w:rsidRPr="00000000">
              <w:rPr>
                <w:rtl w:val="0"/>
              </w:rPr>
              <w:t xml:space="preserve">0.3812 ± 0.0643</w:t>
            </w:r>
          </w:p>
        </w:tc>
        <w:tc>
          <w:tcPr/>
          <w:p w:rsidR="00000000" w:rsidDel="00000000" w:rsidP="00000000" w:rsidRDefault="00000000" w:rsidRPr="00000000" w14:paraId="00000052">
            <w:pPr>
              <w:rPr/>
            </w:pPr>
            <w:r w:rsidDel="00000000" w:rsidR="00000000" w:rsidRPr="00000000">
              <w:rPr>
                <w:rtl w:val="0"/>
              </w:rPr>
              <w:t xml:space="preserve">0.5233</w:t>
            </w:r>
          </w:p>
        </w:tc>
        <w:tc>
          <w:tcPr/>
          <w:p w:rsidR="00000000" w:rsidDel="00000000" w:rsidP="00000000" w:rsidRDefault="00000000" w:rsidRPr="00000000" w14:paraId="00000053">
            <w:pPr>
              <w:rPr/>
            </w:pPr>
            <w:r w:rsidDel="00000000" w:rsidR="00000000" w:rsidRPr="00000000">
              <w:rPr>
                <w:rtl w:val="0"/>
              </w:rPr>
              <w:t xml:space="preserve">0.60</w:t>
            </w:r>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i w:val="1"/>
          <w:iCs w:val="1"/>
          <w:rtl w:val="0"/>
        </w:rPr>
        <w:t xml:space="preserve">(Nota: Las métricas asumen optimismo intrínseco al afinar hiperparámetros sobre las mismas particiones de validación cruzada).</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La diferencia pareada entre el Ensamble Promedio y el KNN puro fue de +0.0025 ± 0.0308 t/ha, representando una diferencia predictiva no detectable. Con base en la tolerancia predefinida, el Ensamble fue elegido por criterios metodológicos para la entrega oficial, conservando los índices satelitales requeridos, aunque se reconoce que su comportamiento dominante es el de interpolación espacial.</w:t>
      </w:r>
    </w:p>
    <w:p w:rsidR="00000000" w:rsidDel="00000000" w:rsidP="00000000" w:rsidRDefault="00000000" w:rsidRPr="00000000" w14:paraId="00000058">
      <w:pPr>
        <w:pStyle w:val="Heading2"/>
        <w:rPr/>
      </w:pPr>
      <w:bookmarkStart w:colFirst="0" w:colLast="0" w:name="_9wcsam4i54l4" w:id="12"/>
      <w:bookmarkEnd w:id="12"/>
      <w:r w:rsidDel="00000000" w:rsidR="00000000" w:rsidRPr="00000000">
        <w:rPr>
          <w:rtl w:val="0"/>
        </w:rPr>
        <w:t xml:space="preserve">5.4 Respuestas a las Preguntas Guía (Análisis de Ablación)</w:t>
      </w:r>
    </w:p>
    <w:p w:rsidR="00000000" w:rsidDel="00000000" w:rsidP="00000000" w:rsidRDefault="00000000" w:rsidRPr="00000000" w14:paraId="00000059">
      <w:pPr>
        <w:rPr/>
      </w:pPr>
      <w:r w:rsidDel="00000000" w:rsidR="00000000" w:rsidRPr="00000000">
        <w:rPr>
          <w:rtl w:val="0"/>
        </w:rPr>
        <w:t xml:space="preserve">Al evaluar el modelo exclusivamente agronómico (sin coordenadas espaciales), se extrajeron las siguientes observaciones métricas: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numPr>
          <w:ilvl w:val="0"/>
          <w:numId w:val="4"/>
        </w:numPr>
        <w:ind w:left="720" w:hanging="360"/>
      </w:pPr>
      <w:r w:rsidDel="00000000" w:rsidR="00000000" w:rsidRPr="00000000">
        <w:rPr>
          <w:b w:val="1"/>
          <w:bCs w:val="1"/>
          <w:rtl w:val="0"/>
        </w:rPr>
        <w:t xml:space="preserve">Índice de mayor importancia:</w:t>
      </w:r>
      <w:r w:rsidDel="00000000" w:rsidR="00000000" w:rsidRPr="00000000">
        <w:rPr>
          <w:rtl w:val="0"/>
        </w:rPr>
        <w:t xml:space="preserve"> Los índices </w:t>
      </w:r>
      <w:r w:rsidDel="00000000" w:rsidR="00000000" w:rsidRPr="00000000">
        <w:rPr>
          <w:rFonts w:ascii="Roboto Mono" w:cs="Roboto Mono" w:eastAsia="Roboto Mono" w:hAnsi="Roboto Mono"/>
          <w:color w:val="188038"/>
          <w:rtl w:val="0"/>
        </w:rPr>
        <w:t xml:space="preserve">DSWI4</w:t>
      </w:r>
      <w:r w:rsidDel="00000000" w:rsidR="00000000" w:rsidRPr="00000000">
        <w:rPr>
          <w:rtl w:val="0"/>
        </w:rPr>
        <w:t xml:space="preserve"> (asociado al estrés hídrico del dosel) y </w:t>
      </w:r>
      <w:r w:rsidDel="00000000" w:rsidR="00000000" w:rsidRPr="00000000">
        <w:rPr>
          <w:rFonts w:ascii="Roboto Mono" w:cs="Roboto Mono" w:eastAsia="Roboto Mono" w:hAnsi="Roboto Mono"/>
          <w:color w:val="188038"/>
          <w:rtl w:val="0"/>
        </w:rPr>
        <w:t xml:space="preserve">NDTI</w:t>
      </w:r>
      <w:r w:rsidDel="00000000" w:rsidR="00000000" w:rsidRPr="00000000">
        <w:rPr>
          <w:rtl w:val="0"/>
        </w:rPr>
        <w:t xml:space="preserve"> resultaron ser los más informativos tanto por los valores SHAP agrupados (0.055 ± 0.030) como por la caída en el MAE al permutarlos (+0.0066 ± 0.0108). Sin embargo, se advierte que la variabilidad entre </w:t>
      </w:r>
      <w:r w:rsidDel="00000000" w:rsidR="00000000" w:rsidRPr="00000000">
        <w:rPr>
          <w:i w:val="1"/>
          <w:iCs w:val="1"/>
          <w:rtl w:val="0"/>
        </w:rPr>
        <w:t xml:space="preserve">folds</w:t>
      </w:r>
      <w:r w:rsidDel="00000000" w:rsidR="00000000" w:rsidRPr="00000000">
        <w:rPr>
          <w:rtl w:val="0"/>
        </w:rPr>
        <w:t xml:space="preserve"> es alta, que los índices sufren de colinealidad y que fungen posiblemente como proxies territoriales.</w:t>
      </w:r>
    </w:p>
    <w:p w:rsidR="00000000" w:rsidDel="00000000" w:rsidP="00000000" w:rsidRDefault="00000000" w:rsidRPr="00000000" w14:paraId="0000005C">
      <w:pPr>
        <w:numPr>
          <w:ilvl w:val="0"/>
          <w:numId w:val="4"/>
        </w:numPr>
        <w:ind w:left="720" w:hanging="360"/>
      </w:pPr>
      <w:r w:rsidDel="00000000" w:rsidR="00000000" w:rsidRPr="00000000">
        <w:rPr>
          <w:b w:val="1"/>
          <w:bCs w:val="1"/>
          <w:rtl w:val="0"/>
        </w:rPr>
        <w:t xml:space="preserve">Variable climática de mayor peso:</w:t>
      </w:r>
      <w:r w:rsidDel="00000000" w:rsidR="00000000" w:rsidRPr="00000000">
        <w:rPr>
          <w:rtl w:val="0"/>
        </w:rPr>
        <w:t xml:space="preserve"> La Precipitación (</w:t>
      </w:r>
      <w:r w:rsidDel="00000000" w:rsidR="00000000" w:rsidRPr="00000000">
        <w:rPr>
          <w:rFonts w:ascii="Roboto Mono" w:cs="Roboto Mono" w:eastAsia="Roboto Mono" w:hAnsi="Roboto Mono"/>
          <w:color w:val="188038"/>
          <w:rtl w:val="0"/>
        </w:rPr>
        <w:t xml:space="preserve">PREC</w:t>
      </w:r>
      <w:r w:rsidDel="00000000" w:rsidR="00000000" w:rsidRPr="00000000">
        <w:rPr>
          <w:rtl w:val="0"/>
        </w:rPr>
        <w:t xml:space="preserve">) correspondiente al mes de mayo presentó la señal más fuerte (SHAP agrupado: 0.578 ± 0.030). No obstante, dada la resolución nativa de CHIRPS (~5 km), parcelas vecinas reciben valores casi idénticos, por lo que la baja variación interpolada no descarta el efecto real del clima sobre el rendimiento en otras escalas.</w:t>
      </w:r>
    </w:p>
    <w:p w:rsidR="00000000" w:rsidDel="00000000" w:rsidP="00000000" w:rsidRDefault="00000000" w:rsidRPr="00000000" w14:paraId="0000005D">
      <w:pPr>
        <w:numPr>
          <w:ilvl w:val="0"/>
          <w:numId w:val="4"/>
        </w:numPr>
        <w:ind w:left="720" w:hanging="360"/>
      </w:pPr>
      <w:r w:rsidDel="00000000" w:rsidR="00000000" w:rsidRPr="00000000">
        <w:rPr>
          <w:b w:val="1"/>
          <w:bCs w:val="1"/>
          <w:rtl w:val="0"/>
        </w:rPr>
        <w:t xml:space="preserve">Mejor combinación (Ablación):</w:t>
      </w:r>
      <w:r w:rsidDel="00000000" w:rsidR="00000000" w:rsidRPr="00000000">
        <w:rPr>
          <w:rtl w:val="0"/>
        </w:rPr>
        <w:t xml:space="preserve"> Si bien la ubicación espacial por sí sola domina la predicción, la prueba de ablación confirmó que el modelo integrado es necesario. Eliminar el bloque de fenología empeoró el modelo en </w:t>
      </w:r>
      <w:r w:rsidDel="00000000" w:rsidR="00000000" w:rsidRPr="00000000">
        <w:rPr>
          <w:b w:val="1"/>
          <w:bCs w:val="1"/>
          <w:rtl w:val="0"/>
        </w:rPr>
        <w:t xml:space="preserve">+0.028 ± 0.026 t/ha</w:t>
      </w:r>
      <w:r w:rsidDel="00000000" w:rsidR="00000000" w:rsidRPr="00000000">
        <w:rPr>
          <w:rtl w:val="0"/>
        </w:rPr>
        <w:t xml:space="preserve"> (bajo interpolación Repeated K-Fold), y eliminar el bloque de variables climáticas colapsó la capacidad de generalización en zonas nuevas (LOGO) empeorando el error en </w:t>
      </w:r>
      <w:r w:rsidDel="00000000" w:rsidR="00000000" w:rsidRPr="00000000">
        <w:rPr>
          <w:b w:val="1"/>
          <w:bCs w:val="1"/>
          <w:rtl w:val="0"/>
        </w:rPr>
        <w:t xml:space="preserve">+0.406 ± 0.283 t/ha</w:t>
      </w:r>
      <w:r w:rsidDel="00000000" w:rsidR="00000000" w:rsidRPr="00000000">
        <w:rPr>
          <w:rtl w:val="0"/>
        </w:rPr>
        <w:t xml:space="preserve">.</w:t>
      </w:r>
    </w:p>
    <w:p w:rsidR="00000000" w:rsidDel="00000000" w:rsidP="00000000" w:rsidRDefault="00000000" w:rsidRPr="00000000" w14:paraId="0000005E">
      <w:pPr>
        <w:pStyle w:val="Heading1"/>
        <w:rPr/>
      </w:pPr>
      <w:bookmarkStart w:colFirst="0" w:colLast="0" w:name="_2dpqxgf2padn" w:id="13"/>
      <w:bookmarkEnd w:id="13"/>
      <w:r w:rsidDel="00000000" w:rsidR="00000000" w:rsidRPr="00000000">
        <w:rPr>
          <w:rtl w:val="0"/>
        </w:rPr>
        <w:t xml:space="preserve">6. Uso de la Ciencia de Datos en la Inclusión Financiera</w:t>
      </w:r>
    </w:p>
    <w:p w:rsidR="00000000" w:rsidDel="00000000" w:rsidP="00000000" w:rsidRDefault="00000000" w:rsidRPr="00000000" w14:paraId="0000005F">
      <w:pPr>
        <w:rPr/>
      </w:pPr>
      <w:r w:rsidDel="00000000" w:rsidR="00000000" w:rsidRPr="00000000">
        <w:rPr>
          <w:rtl w:val="0"/>
        </w:rPr>
        <w:t xml:space="preserve">El modelado riguroso del rendimiento agrícola tiene un impacto crítico en el diseño de instrumentos financieros para pequeños productores. Tradicionalmente, la carencia de historiales precisos aísla a los agricultores de tasas crediticias o seguros agropecuarios viables.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Los resultados empíricos de este modelo sugieren un enfoque de uso financiero específico. Al evidenciar que el error predictivo es bajo en parcelas rodeadas de vecinos conocidos, pero que se degrada severamente en zonas sin datos de referencia (extrapolación LOGO), el modelo no es idóneo para fijar primas de seguros ciegos a nivel municipal sin inspección de campo. Sin embargo, resulta de extrema utilidad como una herramienta algorítmica de tamizaje y verificación con incertidumbre explícita.</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Las instituciones financieras pueden emplear este modelo calculando la distancia euclidiana de una nueva parcela a los lotes de calibración más cercanos, asignando intervalos empíricos de confianza a la predicción: se espera un error en torno a ±0.56 t/ha para parcelas en zonas de alta densidad (vecinos a &lt; 2 km), frente a una incertidumbre que se dispara a </w:t>
      </w:r>
      <w:r w:rsidDel="00000000" w:rsidR="00000000" w:rsidRPr="00000000">
        <w:rPr>
          <w:b w:val="1"/>
          <w:bCs w:val="1"/>
          <w:rtl w:val="0"/>
        </w:rPr>
        <w:t xml:space="preserve">±0.75 t/ha</w:t>
      </w:r>
      <w:r w:rsidDel="00000000" w:rsidR="00000000" w:rsidRPr="00000000">
        <w:rPr>
          <w:rtl w:val="0"/>
        </w:rPr>
        <w:t xml:space="preserve"> en zonas nuevas. Esto permite validar de forma remota las declaraciones de siniestros o estimar garantías para otorgamiento de crédito, disminuyendo los costos operativos y facilitando el acceso al capital de manera equitativa e informada.</w:t>
      </w:r>
    </w:p>
    <w:p w:rsidR="00000000" w:rsidDel="00000000" w:rsidP="00000000" w:rsidRDefault="00000000" w:rsidRPr="00000000" w14:paraId="00000064">
      <w:pPr>
        <w:pStyle w:val="Heading1"/>
        <w:rPr/>
      </w:pPr>
      <w:bookmarkStart w:colFirst="0" w:colLast="0" w:name="_ilnqd6qzwnha" w:id="14"/>
      <w:bookmarkEnd w:id="14"/>
      <w:r w:rsidDel="00000000" w:rsidR="00000000" w:rsidRPr="00000000">
        <w:rPr>
          <w:rtl w:val="0"/>
        </w:rPr>
        <w:t xml:space="preserve">7. Conclusiones</w:t>
      </w:r>
    </w:p>
    <w:p w:rsidR="00000000" w:rsidDel="00000000" w:rsidP="00000000" w:rsidRDefault="00000000" w:rsidRPr="00000000" w14:paraId="00000065">
      <w:pPr>
        <w:rPr/>
      </w:pPr>
      <w:r w:rsidDel="00000000" w:rsidR="00000000" w:rsidRPr="00000000">
        <w:rPr>
          <w:rtl w:val="0"/>
        </w:rPr>
        <w:t xml:space="preserve">La experimentación documentada para AgroCebada evidenció los desafíos inherentes a la predicción de sistemas biológicos en ausencia de variables discretas de manejo (variedad, siembra). Se encontró que las agregaciones mensuales de índices satelitales no mostraron una diferencia predictiva detectable respecto a una interpolación espacial rigurosa.</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El análisis geoestadístico constató que el rendimiento se encuentra supeditado a una dependencia en dos escalas: una cota superior de efecto local (&lt;250m) consistente con prácticas de manejo intra-zona, y una clara estructura de tendencia regional que domina las distancias mayores a 25 km. El modelo HGB, al ser privado de variables latentes de ubicación, colapsó hacia el error global, confirmando su dependencia espacial.</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El Ensamble final entregado cumple con el rigor perceptivo del reto, equilibrando señales físicas e interpolación. Para futuras iteraciones de AgroCebada, la transición indispensable reside en suministrar los datos de percepción remota en formatos crudos o ventanas decadales (10 días) que permitan capturar la verdadera firma fenológica, así como la inclusión de a prioris de rendimiento público, aislando finalmente la señal fisiológica del cultivo del contexto territorial.</w:t>
      </w:r>
    </w:p>
    <w:p w:rsidR="00000000" w:rsidDel="00000000" w:rsidP="00000000" w:rsidRDefault="00000000" w:rsidRPr="00000000" w14:paraId="0000006A">
      <w:pPr>
        <w:pStyle w:val="Heading1"/>
        <w:rPr/>
      </w:pPr>
      <w:bookmarkStart w:colFirst="0" w:colLast="0" w:name="_ymcqm8p276z6" w:id="15"/>
      <w:bookmarkEnd w:id="15"/>
      <w:r w:rsidDel="00000000" w:rsidR="00000000" w:rsidRPr="00000000">
        <w:rPr>
          <w:rtl w:val="0"/>
        </w:rPr>
        <w:t xml:space="preserve">8. Bibliografía</w:t>
      </w:r>
    </w:p>
    <w:p w:rsidR="00000000" w:rsidDel="00000000" w:rsidP="00000000" w:rsidRDefault="00000000" w:rsidRPr="00000000" w14:paraId="0000006B">
      <w:pPr>
        <w:rPr/>
      </w:pPr>
      <w:r w:rsidDel="00000000" w:rsidR="00000000" w:rsidRPr="00000000">
        <w:rPr>
          <w:rtl w:val="0"/>
        </w:rPr>
        <w:t xml:space="preserve">[1] Servicio de Información Agroalimentaria y Pesquera (SIAP). (n.d.). </w:t>
      </w:r>
      <w:r w:rsidDel="00000000" w:rsidR="00000000" w:rsidRPr="00000000">
        <w:rPr>
          <w:i w:val="1"/>
          <w:iCs w:val="1"/>
          <w:rtl w:val="0"/>
        </w:rPr>
        <w:t xml:space="preserve">Bases de datos de producción agrícola en México</w:t>
      </w:r>
      <w:r w:rsidDel="00000000" w:rsidR="00000000" w:rsidRPr="00000000">
        <w:rPr>
          <w:rtl w:val="0"/>
        </w:rPr>
        <w:t xml:space="preserve">.</w:t>
        <w:br w:type="textWrapping"/>
        <w:t xml:space="preserve">[2] Bivand, R. S., Pebesma, E., &amp; Gomez-Rubio, V. (2013). Applied Spatial Data Analysis with R. Springer.</w:t>
        <w:br w:type="textWrapping"/>
        <w:t xml:space="preserve">[3] Funk, C., et al. (2015). </w:t>
      </w:r>
      <w:r w:rsidDel="00000000" w:rsidR="00000000" w:rsidRPr="00000000">
        <w:rPr>
          <w:i w:val="1"/>
          <w:iCs w:val="1"/>
          <w:rtl w:val="0"/>
        </w:rPr>
        <w:t xml:space="preserve">The climate hazards infrared precipitation with stations—a new environmental record for monitoring extremes</w:t>
      </w:r>
      <w:r w:rsidDel="00000000" w:rsidR="00000000" w:rsidRPr="00000000">
        <w:rPr>
          <w:rtl w:val="0"/>
        </w:rPr>
        <w:t xml:space="preserve">. Scientific Data, 2, 150066.</w:t>
        <w:br w:type="textWrapping"/>
        <w:t xml:space="preserve">[4] Pedregosa, F., et al. (2011). Scikit-learn: Machine Learning in Python. </w:t>
      </w:r>
      <w:r w:rsidDel="00000000" w:rsidR="00000000" w:rsidRPr="00000000">
        <w:rPr>
          <w:i w:val="1"/>
          <w:iCs w:val="1"/>
          <w:rtl w:val="0"/>
        </w:rPr>
        <w:t xml:space="preserve">Journal of Machine Learning Research</w:t>
      </w:r>
      <w:r w:rsidDel="00000000" w:rsidR="00000000" w:rsidRPr="00000000">
        <w:rPr>
          <w:rtl w:val="0"/>
        </w:rPr>
        <w:t xml:space="preserve">, 12, 2825-2830.</w:t>
        <w:br w:type="textWrapping"/>
        <w:t xml:space="preserve">[5] Bases y Lineamientos del Reto AgroCebada 2025.</w:t>
      </w:r>
    </w:p>
    <w:p w:rsidR="00000000" w:rsidDel="00000000" w:rsidP="00000000" w:rsidRDefault="00000000" w:rsidRPr="00000000" w14:paraId="0000006C">
      <w:pPr>
        <w:pStyle w:val="Heading1"/>
        <w:rPr/>
      </w:pPr>
      <w:bookmarkStart w:colFirst="0" w:colLast="0" w:name="_296jp5szly3" w:id="16"/>
      <w:bookmarkEnd w:id="16"/>
      <w:r w:rsidDel="00000000" w:rsidR="00000000" w:rsidRPr="00000000">
        <w:rPr>
          <w:rtl w:val="0"/>
        </w:rPr>
        <w:t xml:space="preserve">9. Anexos</w:t>
      </w:r>
    </w:p>
    <w:p w:rsidR="00000000" w:rsidDel="00000000" w:rsidP="00000000" w:rsidRDefault="00000000" w:rsidRPr="00000000" w14:paraId="0000006D">
      <w:pPr>
        <w:rPr/>
      </w:pPr>
      <w:r w:rsidDel="00000000" w:rsidR="00000000" w:rsidRPr="00000000">
        <w:rPr>
          <w:b w:val="1"/>
          <w:bCs w:val="1"/>
          <w:rtl w:val="0"/>
        </w:rPr>
        <w:t xml:space="preserve">A. Uso de Inteligencia Artificial (IA)</w:t>
      </w:r>
      <w:r w:rsidDel="00000000" w:rsidR="00000000" w:rsidRPr="00000000">
        <w:rPr>
          <w:rtl w:val="0"/>
        </w:rPr>
        <w:br w:type="textWrapping"/>
        <w:t xml:space="preserve">El desarrollo analítico y de código fue asistido por Modelos de Lenguaje Grande (LLMs) incluyendo Claude (Anthropic), ChatGPT (OpenAI) y Gemini (Google). Se estructuraron tres tipos de </w:t>
      </w:r>
      <w:r w:rsidDel="00000000" w:rsidR="00000000" w:rsidRPr="00000000">
        <w:rPr>
          <w:i w:val="1"/>
          <w:iCs w:val="1"/>
          <w:rtl w:val="0"/>
        </w:rPr>
        <w:t xml:space="preserve">prompts</w:t>
      </w:r>
      <w:r w:rsidDel="00000000" w:rsidR="00000000" w:rsidRPr="00000000">
        <w:rPr>
          <w:rtl w:val="0"/>
        </w:rPr>
        <w:t xml:space="preserve"> principales: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numPr>
          <w:ilvl w:val="0"/>
          <w:numId w:val="6"/>
        </w:numPr>
        <w:ind w:left="720" w:hanging="360"/>
      </w:pPr>
      <w:r w:rsidDel="00000000" w:rsidR="00000000" w:rsidRPr="00000000">
        <w:rPr>
          <w:b w:val="1"/>
          <w:bCs w:val="1"/>
          <w:rtl w:val="0"/>
        </w:rPr>
        <w:t xml:space="preserve">Refactorización Espacial:</w:t>
      </w:r>
      <w:r w:rsidDel="00000000" w:rsidR="00000000" w:rsidRPr="00000000">
        <w:rPr>
          <w:rtl w:val="0"/>
        </w:rPr>
        <w:t xml:space="preserve"> Creación de rutinas en </w:t>
      </w:r>
      <w:r w:rsidDel="00000000" w:rsidR="00000000" w:rsidRPr="00000000">
        <w:rPr>
          <w:rFonts w:ascii="Roboto Mono" w:cs="Roboto Mono" w:eastAsia="Roboto Mono" w:hAnsi="Roboto Mono"/>
          <w:color w:val="188038"/>
          <w:rtl w:val="0"/>
        </w:rPr>
        <w:t xml:space="preserve">geopandas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scikit-learn</w:t>
      </w:r>
      <w:r w:rsidDel="00000000" w:rsidR="00000000" w:rsidRPr="00000000">
        <w:rPr>
          <w:rtl w:val="0"/>
        </w:rPr>
        <w:t xml:space="preserve"> para cálculo de matrices de distancia euclidiana y validación </w:t>
      </w:r>
      <w:r w:rsidDel="00000000" w:rsidR="00000000" w:rsidRPr="00000000">
        <w:rPr>
          <w:i w:val="1"/>
          <w:iCs w:val="1"/>
          <w:rtl w:val="0"/>
        </w:rPr>
        <w:t xml:space="preserve">Leave-One-Group-Out</w:t>
      </w:r>
      <w:r w:rsidDel="00000000" w:rsidR="00000000" w:rsidRPr="00000000">
        <w:rPr>
          <w:rtl w:val="0"/>
        </w:rPr>
        <w:t xml:space="preserve">.</w:t>
      </w:r>
    </w:p>
    <w:p w:rsidR="00000000" w:rsidDel="00000000" w:rsidP="00000000" w:rsidRDefault="00000000" w:rsidRPr="00000000" w14:paraId="00000070">
      <w:pPr>
        <w:numPr>
          <w:ilvl w:val="0"/>
          <w:numId w:val="6"/>
        </w:numPr>
        <w:ind w:left="720" w:hanging="360"/>
      </w:pPr>
      <w:r w:rsidDel="00000000" w:rsidR="00000000" w:rsidRPr="00000000">
        <w:rPr>
          <w:b w:val="1"/>
          <w:bCs w:val="1"/>
          <w:rtl w:val="0"/>
        </w:rPr>
        <w:t xml:space="preserve">Geoestadística:</w:t>
      </w:r>
      <w:r w:rsidDel="00000000" w:rsidR="00000000" w:rsidRPr="00000000">
        <w:rPr>
          <w:rtl w:val="0"/>
        </w:rPr>
        <w:t xml:space="preserve"> Asistencia para el cálculo del semivariograma empírico, efecto pepita (semivarianza) e intervalos </w:t>
      </w:r>
      <w:r w:rsidDel="00000000" w:rsidR="00000000" w:rsidRPr="00000000">
        <w:rPr>
          <w:i w:val="1"/>
          <w:iCs w:val="1"/>
          <w:rtl w:val="0"/>
        </w:rPr>
        <w:t xml:space="preserve">Bootstrap</w:t>
      </w:r>
      <w:r w:rsidDel="00000000" w:rsidR="00000000" w:rsidRPr="00000000">
        <w:rPr>
          <w:rtl w:val="0"/>
        </w:rPr>
        <w:t xml:space="preserve">.</w:t>
      </w:r>
    </w:p>
    <w:p w:rsidR="00000000" w:rsidDel="00000000" w:rsidP="00000000" w:rsidRDefault="00000000" w:rsidRPr="00000000" w14:paraId="00000071">
      <w:pPr>
        <w:numPr>
          <w:ilvl w:val="0"/>
          <w:numId w:val="6"/>
        </w:numPr>
        <w:ind w:left="720" w:hanging="360"/>
      </w:pPr>
      <w:r w:rsidDel="00000000" w:rsidR="00000000" w:rsidRPr="00000000">
        <w:rPr>
          <w:b w:val="1"/>
          <w:bCs w:val="1"/>
          <w:rtl w:val="0"/>
        </w:rPr>
        <w:t xml:space="preserve">Edición y Estilo:</w:t>
      </w:r>
      <w:r w:rsidDel="00000000" w:rsidR="00000000" w:rsidRPr="00000000">
        <w:rPr>
          <w:rtl w:val="0"/>
        </w:rPr>
        <w:t xml:space="preserve"> Corrección de tono para asegurar un lenguaje prudente y sin afirmaciones absolutas en la redacción del informe.</w:t>
        <w:br w:type="textWrapping"/>
      </w:r>
      <w:r w:rsidDel="00000000" w:rsidR="00000000" w:rsidRPr="00000000">
        <w:rPr>
          <w:i w:val="1"/>
          <w:iCs w:val="1"/>
          <w:rtl w:val="0"/>
        </w:rPr>
        <w:t xml:space="preserve">(Nota: Las bitácoras y transcripciones completas de los prompts utilizados se encuentran documentadas en un repositorio complementario </w:t>
      </w:r>
      <w:r w:rsidDel="00000000" w:rsidR="00000000" w:rsidRPr="00000000">
        <w:rPr>
          <w:rFonts w:ascii="Roboto Mono" w:cs="Roboto Mono" w:eastAsia="Roboto Mono" w:hAnsi="Roboto Mono"/>
          <w:i w:val="1"/>
          <w:iCs w:val="1"/>
          <w:color w:val="188038"/>
          <w:rtl w:val="0"/>
        </w:rPr>
        <w:t xml:space="preserve">docs/uso_de_ia.md</w:t>
      </w:r>
      <w:r w:rsidDel="00000000" w:rsidR="00000000" w:rsidRPr="00000000">
        <w:rPr>
          <w:i w:val="1"/>
          <w:iCs w:val="1"/>
          <w:rtl w:val="0"/>
        </w:rPr>
        <w:t xml:space="preserve"> para verificación del jurado).</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B. Contribuciones del Equipo</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numPr>
          <w:ilvl w:val="0"/>
          <w:numId w:val="3"/>
        </w:numPr>
        <w:ind w:left="720" w:hanging="360"/>
      </w:pPr>
      <w:r w:rsidDel="00000000" w:rsidR="00000000" w:rsidRPr="00000000">
        <w:rPr>
          <w:b w:val="1"/>
          <w:bCs w:val="1"/>
          <w:color w:val="000000"/>
          <w:rtl w:val="0"/>
        </w:rPr>
        <w:t xml:space="preserve">Person</w:t>
      </w:r>
      <w:r w:rsidDel="00000000" w:rsidR="00000000" w:rsidRPr="00000000">
        <w:rPr>
          <w:b w:val="1"/>
          <w:bCs w:val="1"/>
          <w:rtl w:val="0"/>
        </w:rPr>
        <w:t xml:space="preserve">:</w:t>
      </w:r>
      <w:r w:rsidDel="00000000" w:rsidR="00000000" w:rsidRPr="00000000">
        <w:rPr>
          <w:rtl w:val="0"/>
        </w:rPr>
        <w:t xml:space="preserve"> Preprocesamiento de datos espaciales, ingeniería de características (integrales de dosel y cocientes térmicos).</w:t>
      </w:r>
    </w:p>
    <w:p w:rsidR="00000000" w:rsidDel="00000000" w:rsidP="00000000" w:rsidRDefault="00000000" w:rsidRPr="00000000" w14:paraId="00000076">
      <w:pPr>
        <w:numPr>
          <w:ilvl w:val="0"/>
          <w:numId w:val="3"/>
        </w:numPr>
        <w:ind w:left="720" w:hanging="360"/>
      </w:pPr>
      <w:r w:rsidDel="00000000" w:rsidR="00000000" w:rsidRPr="00000000">
        <w:rPr>
          <w:b w:val="1"/>
          <w:bCs w:val="1"/>
          <w:color w:val="000000"/>
          <w:rtl w:val="0"/>
        </w:rPr>
        <w:t xml:space="preserve">Person</w:t>
      </w:r>
      <w:r w:rsidDel="00000000" w:rsidR="00000000" w:rsidRPr="00000000">
        <w:rPr>
          <w:b w:val="1"/>
          <w:bCs w:val="1"/>
          <w:rtl w:val="0"/>
        </w:rPr>
        <w:t xml:space="preserve">:</w:t>
      </w:r>
      <w:r w:rsidDel="00000000" w:rsidR="00000000" w:rsidRPr="00000000">
        <w:rPr>
          <w:rtl w:val="0"/>
        </w:rPr>
        <w:t xml:space="preserve"> Diseño experimental, validación LOGO vs RepeatedKFold, importancia por permutación y diferencia pareada.</w:t>
      </w:r>
    </w:p>
    <w:p w:rsidR="00000000" w:rsidDel="00000000" w:rsidP="00000000" w:rsidRDefault="00000000" w:rsidRPr="00000000" w14:paraId="00000077">
      <w:pPr>
        <w:numPr>
          <w:ilvl w:val="0"/>
          <w:numId w:val="3"/>
        </w:numPr>
        <w:ind w:left="720" w:hanging="360"/>
      </w:pPr>
      <w:r w:rsidDel="00000000" w:rsidR="00000000" w:rsidRPr="00000000">
        <w:rPr>
          <w:b w:val="1"/>
          <w:bCs w:val="1"/>
          <w:color w:val="000000"/>
          <w:rtl w:val="0"/>
        </w:rPr>
        <w:t xml:space="preserve">Person</w:t>
      </w:r>
      <w:r w:rsidDel="00000000" w:rsidR="00000000" w:rsidRPr="00000000">
        <w:rPr>
          <w:b w:val="1"/>
          <w:bCs w:val="1"/>
          <w:rtl w:val="0"/>
        </w:rPr>
        <w:t xml:space="preserve">:</w:t>
      </w:r>
      <w:r w:rsidDel="00000000" w:rsidR="00000000" w:rsidRPr="00000000">
        <w:rPr>
          <w:rtl w:val="0"/>
        </w:rPr>
        <w:t xml:space="preserve"> Análisis geoestadístico (semivariograma), redacción científica e integración del reporte metodológico final.</w:t>
      </w:r>
    </w:p>
    <w:p w:rsidR="00000000" w:rsidDel="00000000" w:rsidP="00000000" w:rsidRDefault="00000000" w:rsidRPr="00000000" w14:paraId="0000007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12529"/>
        <w:sz w:val="22"/>
        <w:szCs w:val="22"/>
        <w:lang w:val="es_419"/>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Roboto" w:cs="Roboto" w:eastAsia="Roboto" w:hAnsi="Roboto"/>
      <w:b w:val="1"/>
      <w:bCs w:val="1"/>
      <w:i w:val="0"/>
      <w:iCs w:val="0"/>
      <w:color w:val="1b3b2b"/>
      <w:sz w:val="28"/>
      <w:szCs w:val="28"/>
    </w:rPr>
  </w:style>
  <w:style w:type="paragraph" w:styleId="Heading2">
    <w:name w:val="heading 2"/>
    <w:basedOn w:val="Normal"/>
    <w:next w:val="Normal"/>
    <w:pPr>
      <w:keepNext w:val="1"/>
      <w:keepLines w:val="1"/>
      <w:pageBreakBefore w:val="0"/>
      <w:spacing w:after="80" w:before="360" w:line="276" w:lineRule="auto"/>
    </w:pPr>
    <w:rPr>
      <w:rFonts w:ascii="Roboto" w:cs="Roboto" w:eastAsia="Roboto" w:hAnsi="Roboto"/>
      <w:b w:val="1"/>
      <w:bCs w:val="1"/>
      <w:i w:val="0"/>
      <w:iCs w:val="0"/>
      <w:color w:val="2d5a40"/>
      <w:sz w:val="24"/>
      <w:szCs w:val="24"/>
    </w:rPr>
  </w:style>
  <w:style w:type="paragraph" w:styleId="Heading3">
    <w:name w:val="heading 3"/>
    <w:basedOn w:val="Normal"/>
    <w:next w:val="Normal"/>
    <w:pPr>
      <w:keepNext w:val="1"/>
      <w:keepLines w:val="1"/>
      <w:pageBreakBefore w:val="0"/>
      <w:spacing w:after="80" w:before="280" w:line="276" w:lineRule="auto"/>
    </w:pPr>
    <w:rPr>
      <w:rFonts w:ascii="Roboto" w:cs="Roboto" w:eastAsia="Roboto" w:hAnsi="Roboto"/>
      <w:b w:val="1"/>
      <w:bCs w:val="1"/>
      <w:i w:val="0"/>
      <w:iCs w:val="0"/>
      <w:color w:val="343a40"/>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Roboto" w:cs="Roboto" w:eastAsia="Roboto" w:hAnsi="Roboto"/>
      <w:b w:val="1"/>
      <w:bCs w:val="1"/>
      <w:i w:val="0"/>
      <w:iCs w:val="0"/>
      <w:color w:val="1b3b2b"/>
      <w:sz w:val="40"/>
      <w:szCs w:val="40"/>
    </w:rPr>
  </w:style>
  <w:style w:type="paragraph" w:styleId="Subtitle">
    <w:name w:val="Subtitle"/>
    <w:basedOn w:val="Normal"/>
    <w:next w:val="Normal"/>
    <w:pPr>
      <w:keepNext w:val="1"/>
      <w:keepLines w:val="1"/>
      <w:pageBreakBefore w:val="0"/>
      <w:spacing w:after="80" w:before="360" w:line="288" w:lineRule="auto"/>
    </w:pPr>
    <w:rPr>
      <w:rFonts w:ascii="Roboto" w:cs="Roboto" w:eastAsia="Roboto" w:hAnsi="Roboto"/>
      <w:b w:val="0"/>
      <w:bCs w:val="0"/>
      <w:i w:val="1"/>
      <w:iCs w:val="1"/>
      <w:color w:val="495057"/>
      <w:sz w:val="24"/>
      <w:szCs w:val="24"/>
    </w:rPr>
  </w:style>
  <w:style w:type="table" w:styleId="Table1">
    <w:basedOn w:val="TableNormal"/>
    <w:tblPr>
      <w:tblStyleRowBandSize w:val="1"/>
      <w:tblStyleColBandSize w:val="1"/>
      <w:tblCellMar>
        <w:top w:w="120.0" w:type="dxa"/>
        <w:left w:w="200.0" w:type="dxa"/>
        <w:bottom w:w="120.0" w:type="dxa"/>
        <w:right w:w="200.0" w:type="dxa"/>
      </w:tblCellMar>
    </w:tblPr>
    <w:tcPr>
      <w:shd w:fill="ffffff" w:val="clear"/>
      <w:vAlign w:val="center"/>
    </w:tcPr>
    <w:tblStylePr w:type="firstRow">
      <w:rPr>
        <w:rFonts w:ascii="Roboto" w:cs="Roboto" w:eastAsia="Roboto" w:hAnsi="Roboto"/>
        <w:b w:val="1"/>
        <w:bCs w:val="1"/>
        <w:i w:val="0"/>
        <w:iCs w:val="0"/>
        <w:color w:val="1b3b2b"/>
        <w:sz w:val="20"/>
        <w:szCs w:val="20"/>
      </w:rPr>
      <w:tcPr>
        <w:shd w:fill="f1f5f2"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