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KREDIT SHARTNOMASI No 145/2026 (NAMUNA)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Toshkent shahri, 2026 yil 15 avgust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"Agrobank" ATB (keyingi o'rinlarda - Bank) va "Namuna Savdo" MChJ (keyingi o'rinlarda - Qarz oluvchi) quyidagilar haqida shartnoma tuzdilar.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Shartnoma predmeti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Bank Qarz oluvchiga 500 000 000 so'm miqdorida kredit beradi, Qarz oluvchi uni 2028 yil 15 avgustgacha qaytarish majburiyatini oladi.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Foiz stavkasi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Kredit uchun yillik 24 foiz miqdorida foiz to'lanadi.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Sinov hujjati: barcha nomlar va raqamlar to'qima.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