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Comprehension Debt</w:t>
      </w:r>
    </w:p>
    <w:p>
      <w:pPr>
        <w:jc w:val="center"/>
      </w:pPr>
      <w:r>
        <w:rPr>
          <w:i/>
          <w:color w:val="666666"/>
          <w:sz w:val="24"/>
        </w:rPr>
        <w:t>Lightning-talk reading script  ·  ~5 min  ·  read-from copy</w:t>
      </w:r>
    </w:p>
    <w:p/>
    <w:p>
      <w:r>
        <w:rPr>
          <w:b/>
          <w:sz w:val="24"/>
        </w:rPr>
        <w:t xml:space="preserve">How to use this: </w:t>
      </w:r>
      <w:r>
        <w:rPr>
          <w:sz w:val="24"/>
        </w:rPr>
        <w:t xml:space="preserve">Read the plain text aloud. </w:t>
      </w:r>
      <w:r>
        <w:rPr>
          <w:b/>
          <w:color w:val="C02A14"/>
          <w:sz w:val="24"/>
        </w:rPr>
        <w:t>Red ▶ lines tell you when to advance the slide</w:t>
      </w:r>
      <w:r>
        <w:rPr>
          <w:sz w:val="24"/>
        </w:rPr>
        <w:t xml:space="preserve"> — they are NOT spoken. Italic grey lines are stage directions, also not spoken.</w:t>
      </w:r>
    </w:p>
    <w:p>
      <w:pPr>
        <w:spacing w:before="240" w:after="160"/>
      </w:pPr>
      <w:r>
        <w:rPr>
          <w:b/>
          <w:color w:val="C02A14"/>
          <w:sz w:val="26"/>
        </w:rPr>
        <w:t>▶  SLIDE 1 up (title) — start here as you walk up</w:t>
      </w:r>
    </w:p>
    <w:p>
      <w:pPr>
        <w:spacing w:before="280"/>
      </w:pPr>
      <w:r>
        <w:rPr>
          <w:b/>
          <w:color w:val="666666"/>
          <w:sz w:val="26"/>
        </w:rPr>
        <w:t>— Introduce yourself —</w:t>
      </w:r>
    </w:p>
    <w:p>
      <w:r>
        <w:t>Good afternoon. I’m Evan Wyloge, a reporter and editor with the Howard Center for Investigative Journalism at Arizona State University.</w:t>
      </w:r>
    </w:p>
    <w:p>
      <w:r>
        <w:t>Most of my work lives at the point where a story collides with a giant, messy pile of data — and somebody has to be able to vouch for every number that ends up in print. That “vouch for it” part is exactly what this talk is about.</w:t>
      </w:r>
    </w:p>
    <w:p>
      <w:r>
        <w:rPr>
          <w:i/>
          <w:color w:val="666666"/>
          <w:sz w:val="24"/>
        </w:rPr>
        <w:t>(beat — let it sit)</w:t>
      </w:r>
    </w:p>
    <w:p>
      <w:r>
        <w:t>The title promises you a tale of two header rows. I’ll get there. But first, an old idea from software engineering.</w:t>
      </w:r>
    </w:p>
    <w:p>
      <w:pPr>
        <w:spacing w:before="240" w:after="160"/>
      </w:pPr>
      <w:r>
        <w:rPr>
          <w:b/>
          <w:color w:val="C02A14"/>
          <w:sz w:val="26"/>
        </w:rPr>
        <w:t>▶  ADVANCE → SLIDE 2  (the “SHIP NOW / PAY LATER” card)</w:t>
      </w:r>
    </w:p>
    <w:p>
      <w:r>
        <w:t>Back in 1992, a programmer named Ward Cunningham had to explain to his boss why they needed to go back and fix code that already worked. So he reached for a metaphor the boss would feel in his gut: debt.</w:t>
      </w:r>
    </w:p>
    <w:p>
      <w:r>
        <w:t>When you ship fast, Cunningham said, you’re borrowing. A little debt is fine — as long as you pay it back. If you don’t, you pay interest: every future change gets slower, harder, more painful.</w:t>
      </w:r>
    </w:p>
    <w:p>
      <w:r>
        <w:t xml:space="preserve">They called it technical debt, and every newsroom has it. The scraper that breaks every time a website is redesigned. The election-night spreadsheet nobody dares touch. And here’s the important part — </w:t>
      </w:r>
    </w:p>
    <w:p>
      <w:r>
        <w:rPr>
          <w:i/>
          <w:color w:val="666666"/>
          <w:sz w:val="24"/>
        </w:rPr>
        <w:t>slow down</w:t>
      </w:r>
    </w:p>
    <w:p>
      <w:r>
        <w:t>you can feel technical debt. You know you owe it.</w:t>
      </w:r>
    </w:p>
    <w:p>
      <w:r>
        <w:t>I want to tell you about a different kind of debt. One you can’t feel.</w:t>
      </w:r>
    </w:p>
    <w:p>
      <w:pPr>
        <w:spacing w:before="240" w:after="160"/>
      </w:pPr>
      <w:r>
        <w:rPr>
          <w:b/>
          <w:color w:val="C02A14"/>
          <w:sz w:val="26"/>
        </w:rPr>
        <w:t>▶  ADVANCE → SLIDE 3  (df.head(), two header rows, ¯\_(ツ)_/¯)</w:t>
      </w:r>
    </w:p>
    <w:p>
      <w:r>
        <w:t>Not long ago I was helping someone with a story built on a big set of public records — not a spreadsheet, millions of rows. We were after the headline numbers: the key averages and outcomes, broken down by the categories that mattered.</w:t>
      </w:r>
    </w:p>
    <w:p>
      <w:r>
        <w:t>They were moving fast, with an AI tool doing the analysis. And the numbers looked great. Clean, confident — the kind you’d drop straight into a chart and publish.</w:t>
      </w:r>
    </w:p>
    <w:p>
      <w:r>
        <w:t>That’s exactly why I asked them to slow down and show me what the analysis was actually doing. So we open a Python script, print the first few rows — and there are two header rows. Two. I asked, why are there two?</w:t>
      </w:r>
    </w:p>
    <w:p>
      <w:r>
        <w:rPr>
          <w:i/>
          <w:color w:val="666666"/>
          <w:sz w:val="24"/>
        </w:rPr>
        <w:t>(beat — point at the shrug on screen, then deliver the line flat)</w:t>
      </w:r>
    </w:p>
    <w:p>
      <w:r>
        <w:t>They didn’t know.</w:t>
      </w:r>
    </w:p>
    <w:p>
      <w:r>
        <w:t>That’s not a knock on them — they’re sharp, and they’re fast. But sit with that answer for a second, because I think every one of us has been the person who didn’t know.</w:t>
      </w:r>
    </w:p>
    <w:p>
      <w:pPr>
        <w:spacing w:before="240" w:after="160"/>
      </w:pPr>
      <w:r>
        <w:rPr>
          <w:b/>
          <w:color w:val="C02A14"/>
          <w:sz w:val="26"/>
        </w:rPr>
        <w:t>▶  ADVANCE → SLIDE 4  (terminal: “✨ handled it ✨”)</w:t>
      </w:r>
    </w:p>
    <w:p>
      <w:r>
        <w:t>So we keep pulling the thread. First, delimiter errors. Then the root cause: buried in those millions of rows, a handful of encoding errors — nul bytes, stray commas. Junk.</w:t>
      </w:r>
    </w:p>
    <w:p>
      <w:r>
        <w:t>And here’s the thing. The tool hit that junk and never asked us how we wanted to handle it. It just made a decision we never saw — quietly dropped the rows it didn’t like, and mangled the rest into those two header rows.</w:t>
      </w:r>
    </w:p>
    <w:p>
      <w:r>
        <w:rPr>
          <w:i/>
          <w:color w:val="666666"/>
          <w:sz w:val="24"/>
        </w:rPr>
        <w:t>(beat — let it sit)</w:t>
      </w:r>
    </w:p>
    <w:p>
      <w:r>
        <w:t>It didn’t fail loudly. It succeeded quietly — on its own terms.</w:t>
      </w:r>
    </w:p>
    <w:p>
      <w:pPr>
        <w:spacing w:before="240" w:after="160"/>
      </w:pPr>
      <w:r>
        <w:rPr>
          <w:b/>
          <w:color w:val="C02A14"/>
          <w:sz w:val="26"/>
        </w:rPr>
        <w:t>▶  ADVANCE → SLIDE 5  (green checks → COMPREHENSION DEBT)</w:t>
      </w:r>
    </w:p>
    <w:p>
      <w:r>
        <w:t>Now — that looked like technical debt. But we couldn’t feel it. Nothing broke. Every check was green.</w:t>
      </w:r>
    </w:p>
    <w:p>
      <w:r>
        <w:t>There’s a newer name for this, and engineers have been writing about it all year — Addy Osmani at Google, O’Reilly, even academic studies. They call it comprehension debt: the gap between how much exists in your system and how much any human actually understands.</w:t>
      </w:r>
    </w:p>
    <w:p>
      <w:r>
        <w:t>Technical debt announces itself. Comprehension debt hides. In one controlled study, people building something with AI finished just as fast as everyone else — and scored seventeen points lower on understanding what they’d just built. Fast, confident, and quietly wrong.</w:t>
      </w:r>
    </w:p>
    <w:p>
      <w:pPr>
        <w:spacing w:before="240" w:after="160"/>
      </w:pPr>
      <w:r>
        <w:rPr>
          <w:b/>
          <w:color w:val="C02A14"/>
          <w:sz w:val="26"/>
        </w:rPr>
        <w:t>▶  ADVANCE → SLIDE 6  (“Which rows got dropped?” chart)</w:t>
      </w:r>
    </w:p>
    <w:p>
      <w:r>
        <w:t>Plug that into our world. The dangerous question isn’t what the tool found. It’s which rows it dropped.</w:t>
      </w:r>
    </w:p>
    <w:p>
      <w:r>
        <w:t>Encoding errors aren’t sprinkled at random. If they cluster around one source, or one stretch of time, then the rows the tool threw away line up with the exact things we were measuring. The numbers could be quietly biased — and no chart would ever show it.</w:t>
      </w:r>
    </w:p>
    <w:p>
      <w:r>
        <w:t>Remember the scraper you can feel? Our numbers didn’t break. They didn’t throw an error.</w:t>
      </w:r>
    </w:p>
    <w:p>
      <w:r>
        <w:rPr>
          <w:i/>
          <w:color w:val="666666"/>
          <w:sz w:val="24"/>
        </w:rPr>
        <w:t>(beat — let it sit)</w:t>
      </w:r>
    </w:p>
    <w:p>
      <w:r>
        <w:t>They’d just have been wrong — and we’d have published them.</w:t>
      </w:r>
    </w:p>
    <w:p>
      <w:pPr>
        <w:spacing w:before="240" w:after="160"/>
      </w:pPr>
      <w:r>
        <w:rPr>
          <w:b/>
          <w:color w:val="C02A14"/>
          <w:sz w:val="26"/>
        </w:rPr>
        <w:t>▶  ADVANCE → SLIDE 7  (the receipt / the rule)</w:t>
      </w:r>
    </w:p>
    <w:p>
      <w:r>
        <w:t>So what did we do? We didn’t ban the tool. We slowed it down. We sat together and worked with an AI tool — carefully — to write a documented script, where every decision about that junk was explicit, and ours.</w:t>
      </w:r>
    </w:p>
    <w:p>
      <w:r>
        <w:t>That’s the whole move. Treat what the AI hands you as a draft you have to be able to explain back. Check what it threw away, not just what it showed you. And keep one human in the room who can rebuild the why.</w:t>
      </w:r>
    </w:p>
    <w:p>
      <w:r>
        <w:rPr>
          <w:i/>
          <w:color w:val="666666"/>
          <w:sz w:val="24"/>
        </w:rPr>
        <w:t>(beat — let it sit)</w:t>
      </w:r>
    </w:p>
    <w:p>
      <w:r>
        <w:t>Comprehension debt is the version of technical debt that can get a journalist sued. The fix isn’t using less AI — it’s never owing more than you can explain.</w:t>
      </w:r>
    </w:p>
    <w:p>
      <w:r>
        <w:t>Thank you.</w:t>
      </w:r>
    </w:p>
    <w:p>
      <w:pPr>
        <w:spacing w:before="240" w:after="160"/>
      </w:pPr>
      <w:r>
        <w:rPr>
          <w:b/>
          <w:color w:val="C02A14"/>
          <w:sz w:val="26"/>
        </w:rPr>
        <w:t>▶  ADVANCE → SLIDE 8  (sources) — leave up for Q&amp;A</w:t>
      </w:r>
    </w:p>
    <w:p>
      <w:r>
        <w:rPr>
          <w:i/>
          <w:color w:val="666666"/>
          <w:sz w:val="24"/>
        </w:rPr>
        <w:t>(Nothing to read. Take questions. Sources are on screen.)</w:t>
      </w:r>
    </w:p>
    <w:p>
      <w:r>
        <w:br w:type="page"/>
      </w:r>
    </w:p>
    <w:p>
      <w:pPr>
        <w:spacing w:before="280"/>
      </w:pPr>
      <w:r>
        <w:rPr>
          <w:b/>
          <w:color w:val="666666"/>
          <w:sz w:val="26"/>
        </w:rPr>
        <w:t>Delivery notes</w:t>
      </w:r>
    </w:p>
    <w:p>
      <w:pPr>
        <w:pStyle w:val="ListBullet"/>
      </w:pPr>
      <w:r>
        <w:rPr>
          <w:sz w:val="24"/>
        </w:rPr>
        <w:t>Total run time ≈ 5:00–5:25 with the intro. If you’re tight, the cleanest cut is the “seventeen points lower” sentence on Slide 5 — the story already proves the point.</w:t>
      </w:r>
    </w:p>
    <w:p>
      <w:pPr>
        <w:pStyle w:val="ListBullet"/>
      </w:pPr>
      <w:r>
        <w:rPr>
          <w:sz w:val="24"/>
        </w:rPr>
        <w:t>The two lines to land slow, with silence after: “They didn’t know.” (Slide 3) and “…and we’d have published them.” (Slide 6).</w:t>
      </w:r>
    </w:p>
    <w:p>
      <w:pPr>
        <w:pStyle w:val="ListBullet"/>
      </w:pPr>
      <w:r>
        <w:rPr>
          <w:sz w:val="24"/>
        </w:rPr>
        <w:t>Before you present: confirm the AI tool’s name (Slide 3/4 references), and verify the 17% study’s primary source if you decide to name a specific institution out loud.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line="300" w:lineRule="auto"/>
    </w:pPr>
    <w:rPr>
      <w:rFonts w:ascii="Georgia" w:hAnsi="Georgia"/>
      <w:sz w:val="3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