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EXECUTIVE SUMMARY</w:t>
      </w:r>
    </w:p>
    <w:p>
      <w:pPr>
        <w:pStyle w:val="Subtitle"/>
        <w:keepNext/>
      </w:pPr>
      <w:r>
        <w:t>Black Box Optimizer  |  CSCI 3038 Final Project</w:t>
      </w:r>
    </w:p>
    <w:p>
      <w:pPr>
        <w:spacing w:before="0" w:after="40" w:line="240" w:lineRule="auto"/>
      </w:pPr>
      <w:r>
        <w:rPr>
          <w:rFonts w:ascii="Calibri" w:hAnsi="Calibri"/>
          <w:b/>
          <w:color w:val="172B3A"/>
          <w:sz w:val="21"/>
        </w:rPr>
        <w:t xml:space="preserve">Prepared: </w:t>
      </w:r>
      <w:r>
        <w:rPr>
          <w:rFonts w:ascii="Calibri" w:hAnsi="Calibri"/>
          <w:color w:val="172B3A"/>
          <w:sz w:val="21"/>
        </w:rPr>
        <w:t>July 17, 2026</w:t>
      </w:r>
    </w:p>
    <w:p>
      <w:pPr>
        <w:spacing w:before="0" w:after="40" w:line="240" w:lineRule="auto"/>
      </w:pPr>
      <w:r>
        <w:rPr>
          <w:rFonts w:ascii="Calibri" w:hAnsi="Calibri"/>
          <w:b/>
          <w:color w:val="172B3A"/>
          <w:sz w:val="21"/>
        </w:rPr>
        <w:t xml:space="preserve">Source baseline: </w:t>
      </w:r>
      <w:r>
        <w:rPr>
          <w:rFonts w:ascii="Calibri" w:hAnsi="Calibri"/>
          <w:color w:val="172B3A"/>
          <w:sz w:val="21"/>
        </w:rPr>
        <w:t>BBO-PC-001, BBO-SOW-001, and BBO-TDS-001 — Draft v0.1</w:t>
      </w:r>
    </w:p>
    <w:p>
      <w:pPr>
        <w:spacing w:before="0" w:after="40" w:line="240" w:lineRule="auto"/>
      </w:pPr>
      <w:r>
        <w:rPr>
          <w:rFonts w:ascii="Calibri" w:hAnsi="Calibri"/>
          <w:b/>
          <w:color w:val="172B3A"/>
          <w:sz w:val="21"/>
        </w:rPr>
        <w:t xml:space="preserve">Current status: </w:t>
      </w:r>
      <w:r>
        <w:rPr>
          <w:rFonts w:ascii="Calibri" w:hAnsi="Calibri"/>
          <w:color w:val="172B3A"/>
          <w:sz w:val="21"/>
        </w:rPr>
        <w:t>Pending team ratification and technical approval</w:t>
      </w:r>
    </w:p>
    <w:p>
      <w:pPr>
        <w:spacing w:before="80" w:after="120"/>
        <w:pBdr>
          <w:bottom w:val="single" w:sz="12" w:space="6" w:color="2E74B5"/>
        </w:pBdr>
      </w:pPr>
    </w:p>
    <w:p>
      <w:pPr>
        <w:pStyle w:val="Heading1"/>
        <w:keepNext/>
      </w:pPr>
      <w:r>
        <w:t>Executive Overview</w:t>
      </w:r>
    </w:p>
    <w:p>
      <w:pPr/>
      <w:r>
        <w:rPr>
          <w:rFonts w:ascii="Calibri" w:hAnsi="Calibri"/>
          <w:color w:val="172B3A"/>
        </w:rPr>
        <w:t>The Black Box Optimizer is a proposed reusable Python 3.13.14 command-line application for improving external local programs without importing, inspecting, or coupling to their internal code. It runs controlled candidate configurations one at a time, preserves immutable evidence for every attempt, and returns a Pareto Front across two or more independently minimized or maximized objectives. The result is intentionally a set of defensible trade-offs—not a hidden weighted score or a single universal winner.</w:t>
      </w:r>
    </w:p>
    <w:p>
      <w:pPr/>
      <w:r>
        <w:rPr>
          <w:rFonts w:ascii="Calibri" w:hAnsi="Calibri"/>
          <w:color w:val="172B3A"/>
        </w:rPr>
        <w:t>The three governing documents form a coherent baseline. The Project Charter authorizes the purpose, objectives, boundaries, and decision rights; the Scope of Work defines eight work packages, 20 functional requirements, 10 non-functional requirements, and 16 acceptance scenarios; and the Technical Design Specification converts those obligations into concrete interfaces, state transitions, schemas, failure rules, and verification mappings. All three remain Draft v0.1, so the project is technically well specified but not yet formally ratified or assigned.</w:t>
      </w:r>
    </w:p>
    <w:p>
      <w:pPr>
        <w:pStyle w:val="Heading1"/>
        <w:keepNext/>
      </w:pPr>
      <w:r>
        <w:t>Why the Project Matters</w:t>
      </w:r>
    </w:p>
    <w:p>
      <w:pPr>
        <w:numPr>
          <w:ilvl w:val="0"/>
          <w:numId w:val="10"/>
        </w:numPr>
      </w:pPr>
      <w:r>
        <w:rPr>
          <w:rFonts w:ascii="Calibri" w:hAnsi="Calibri"/>
          <w:b/>
          <w:color w:val="172B3A"/>
        </w:rPr>
        <w:t>Worker independence.</w:t>
      </w:r>
      <w:r>
        <w:rPr>
          <w:rFonts w:ascii="Calibri" w:hAnsi="Calibri"/>
          <w:color w:val="172B3A"/>
        </w:rPr>
        <w:t xml:space="preserve"> Any compliant local program can be optimized through the approved command-line and metrics-file contract, without source changes or optimizer-side imports.</w:t>
      </w:r>
    </w:p>
    <w:p>
      <w:pPr>
        <w:numPr>
          <w:ilvl w:val="0"/>
          <w:numId w:val="10"/>
        </w:numPr>
      </w:pPr>
      <w:r>
        <w:rPr>
          <w:rFonts w:ascii="Calibri" w:hAnsi="Calibri"/>
          <w:b/>
          <w:color w:val="172B3A"/>
        </w:rPr>
        <w:t>Reproducible, auditable evidence.</w:t>
      </w:r>
      <w:r>
        <w:rPr>
          <w:rFonts w:ascii="Calibri" w:hAnsi="Calibri"/>
          <w:color w:val="172B3A"/>
        </w:rPr>
        <w:t xml:space="preserve"> A seeded search proposes candidates deterministically, while every launch, success, crash, timeout, cancellation, or metrics defect becomes traceable trial evidence.</w:t>
      </w:r>
    </w:p>
    <w:p>
      <w:pPr>
        <w:numPr>
          <w:ilvl w:val="0"/>
          <w:numId w:val="10"/>
        </w:numPr>
      </w:pPr>
      <w:r>
        <w:rPr>
          <w:rFonts w:ascii="Calibri" w:hAnsi="Calibri"/>
          <w:b/>
          <w:color w:val="172B3A"/>
        </w:rPr>
        <w:t>Transparent multi-objective decisions.</w:t>
      </w:r>
      <w:r>
        <w:rPr>
          <w:rFonts w:ascii="Calibri" w:hAnsi="Calibri"/>
          <w:color w:val="172B3A"/>
        </w:rPr>
        <w:t xml:space="preserve"> Mixed minimize/maximize goals are evaluated through formal Pareto dominance, preserving all non-dominated trade-offs for human interpretation.</w:t>
      </w:r>
    </w:p>
    <w:p>
      <w:pPr>
        <w:numPr>
          <w:ilvl w:val="0"/>
          <w:numId w:val="10"/>
        </w:numPr>
      </w:pPr>
      <w:r>
        <w:rPr>
          <w:rFonts w:ascii="Calibri" w:hAnsi="Calibri"/>
          <w:b/>
          <w:color w:val="172B3A"/>
        </w:rPr>
        <w:t>Modular implementation.</w:t>
      </w:r>
      <w:r>
        <w:rPr>
          <w:rFonts w:ascii="Calibri" w:hAnsi="Calibri"/>
          <w:color w:val="172B3A"/>
        </w:rPr>
        <w:t xml:space="preserve"> Search, execution, stopping, evidence, Pareto evaluation, and reporting are separated by explicit contracts, enabling parallel team work and later extension without expanding the MVP.</w:t>
      </w:r>
    </w:p>
    <w:p>
      <w:pPr>
        <w:pStyle w:val="Heading1"/>
        <w:keepNext/>
      </w:pPr>
      <w:r>
        <w:t>Operating Model and Technical Baseline</w:t>
      </w:r>
    </w:p>
    <w:tbl>
      <w:tblPr>
        <w:tblW w:type="dxa" w:w="9360"/>
        <w:tblLayout w:type="fixed"/>
        <w:tblLook w:firstColumn="1" w:firstRow="1" w:lastColumn="0" w:lastRow="0" w:noHBand="0" w:noVBand="1" w:val="04A0"/>
        <w:jc w:val="left"/>
        <w:tblInd w:w="120" w:type="dxa"/>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900"/>
        <w:gridCol w:w="7460"/>
      </w:tblGrid>
      <w:tr>
        <w:trPr>
          <w:cantSplit/>
          <w:tblHeader w:val="true"/>
        </w:trPr>
        <w:tc>
          <w:tcPr>
            <w:tcW w:type="dxa" w:w="1900"/>
            <w:tcMar>
              <w:top w:w="80" w:type="dxa"/>
              <w:start w:w="120" w:type="dxa"/>
              <w:bottom w:w="80" w:type="dxa"/>
              <w:end w:w="120" w:type="dxa"/>
            </w:tcMar>
            <w:shd w:fill="F2F4F7" w:val="clear"/>
            <w:vAlign w:val="center"/>
          </w:tcPr>
          <w:p>
            <w:pPr>
              <w:spacing w:before="0" w:after="0" w:line="240" w:lineRule="auto"/>
            </w:pPr>
            <w:r>
              <w:rPr>
                <w:rFonts w:ascii="Calibri" w:hAnsi="Calibri"/>
                <w:b/>
                <w:color w:val="172B3A"/>
                <w:sz w:val="19"/>
              </w:rPr>
              <w:t>Layer</w:t>
            </w:r>
          </w:p>
        </w:tc>
        <w:tc>
          <w:tcPr>
            <w:tcW w:type="dxa" w:w="7460"/>
            <w:tcMar>
              <w:top w:w="80" w:type="dxa"/>
              <w:start w:w="120" w:type="dxa"/>
              <w:bottom w:w="80" w:type="dxa"/>
              <w:end w:w="120" w:type="dxa"/>
            </w:tcMar>
            <w:shd w:fill="F2F4F7" w:val="clear"/>
            <w:vAlign w:val="center"/>
          </w:tcPr>
          <w:p>
            <w:pPr>
              <w:spacing w:before="0" w:after="0" w:line="240" w:lineRule="auto"/>
            </w:pPr>
            <w:r>
              <w:rPr>
                <w:rFonts w:ascii="Calibri" w:hAnsi="Calibri"/>
                <w:b/>
                <w:color w:val="172B3A"/>
                <w:sz w:val="19"/>
              </w:rPr>
              <w:t>Baseline design</w:t>
            </w:r>
          </w:p>
        </w:tc>
      </w:tr>
      <w:tr>
        <w:trPr>
          <w:cantSplit/>
        </w:trPr>
        <w:tc>
          <w:tcPr>
            <w:tcW w:type="dxa" w:w="1900"/>
            <w:vAlign w:val="top"/>
            <w:tcMar>
              <w:top w:w="80" w:type="dxa"/>
              <w:start w:w="120" w:type="dxa"/>
              <w:bottom w:w="80" w:type="dxa"/>
              <w:end w:w="120" w:type="dxa"/>
            </w:tcMar>
          </w:tcPr>
          <w:p>
            <w:pPr>
              <w:spacing w:before="0" w:after="0" w:line="252" w:lineRule="auto"/>
            </w:pPr>
            <w:r>
              <w:rPr>
                <w:rFonts w:ascii="Calibri" w:hAnsi="Calibri"/>
                <w:color w:val="172B3A"/>
                <w:sz w:val="19"/>
              </w:rPr>
              <w:t>Configuration</w:t>
            </w:r>
          </w:p>
        </w:tc>
        <w:tc>
          <w:tcPr>
            <w:tcW w:type="dxa" w:w="7460"/>
            <w:vAlign w:val="top"/>
            <w:tcMar>
              <w:top w:w="80" w:type="dxa"/>
              <w:start w:w="120" w:type="dxa"/>
              <w:bottom w:w="80" w:type="dxa"/>
              <w:end w:w="120" w:type="dxa"/>
            </w:tcMar>
          </w:tcPr>
          <w:p>
            <w:pPr>
              <w:spacing w:before="0" w:after="0" w:line="252" w:lineRule="auto"/>
            </w:pPr>
            <w:r>
              <w:rPr>
                <w:rFonts w:ascii="Calibri" w:hAnsi="Calibri"/>
                <w:color w:val="172B3A"/>
                <w:sz w:val="19"/>
              </w:rPr>
              <w:t>One JSON file is validated before trial 1 and converted into immutable WorkerSpec, OptimizationContract, AlgorithmSpec, and StopPolicy objects.</w:t>
            </w:r>
          </w:p>
        </w:tc>
      </w:tr>
      <w:tr>
        <w:trPr>
          <w:cantSplit/>
        </w:trPr>
        <w:tc>
          <w:tcPr>
            <w:tcW w:type="dxa" w:w="1900"/>
            <w:vAlign w:val="top"/>
            <w:tcMar>
              <w:top w:w="80" w:type="dxa"/>
              <w:start w:w="120" w:type="dxa"/>
              <w:bottom w:w="80" w:type="dxa"/>
              <w:end w:w="120" w:type="dxa"/>
            </w:tcMar>
          </w:tcPr>
          <w:p>
            <w:pPr>
              <w:spacing w:before="0" w:after="0" w:line="252" w:lineRule="auto"/>
            </w:pPr>
            <w:r>
              <w:rPr>
                <w:rFonts w:ascii="Calibri" w:hAnsi="Calibri"/>
                <w:color w:val="172B3A"/>
                <w:sz w:val="19"/>
              </w:rPr>
              <w:t>Search</w:t>
            </w:r>
          </w:p>
        </w:tc>
        <w:tc>
          <w:tcPr>
            <w:tcW w:type="dxa" w:w="7460"/>
            <w:vAlign w:val="top"/>
            <w:tcMar>
              <w:top w:w="80" w:type="dxa"/>
              <w:start w:w="120" w:type="dxa"/>
              <w:bottom w:w="80" w:type="dxa"/>
              <w:end w:w="120" w:type="dxa"/>
            </w:tcMar>
          </w:tcPr>
          <w:p>
            <w:pPr>
              <w:spacing w:before="0" w:after="0" w:line="252" w:lineRule="auto"/>
            </w:pPr>
            <w:r>
              <w:rPr>
                <w:rFonts w:ascii="Calibri" w:hAnsi="Calibri"/>
                <w:color w:val="172B3A"/>
                <w:sz w:val="19"/>
              </w:rPr>
              <w:t>A built-in registry creates seeded RandomSearch, which proposes legal, previously untried candidates or returns an explicit exhaustion/failure status.</w:t>
            </w:r>
          </w:p>
        </w:tc>
      </w:tr>
      <w:tr>
        <w:trPr>
          <w:cantSplit/>
        </w:trPr>
        <w:tc>
          <w:tcPr>
            <w:tcW w:type="dxa" w:w="1900"/>
            <w:vAlign w:val="top"/>
            <w:tcMar>
              <w:top w:w="80" w:type="dxa"/>
              <w:start w:w="120" w:type="dxa"/>
              <w:bottom w:w="80" w:type="dxa"/>
              <w:end w:w="120" w:type="dxa"/>
            </w:tcMar>
          </w:tcPr>
          <w:p>
            <w:pPr>
              <w:spacing w:before="0" w:after="0" w:line="252" w:lineRule="auto"/>
            </w:pPr>
            <w:r>
              <w:rPr>
                <w:rFonts w:ascii="Calibri" w:hAnsi="Calibri"/>
                <w:color w:val="172B3A"/>
                <w:sz w:val="19"/>
              </w:rPr>
              <w:t>Control &amp; execution</w:t>
            </w:r>
          </w:p>
        </w:tc>
        <w:tc>
          <w:tcPr>
            <w:tcW w:type="dxa" w:w="7460"/>
            <w:vAlign w:val="top"/>
            <w:tcMar>
              <w:top w:w="80" w:type="dxa"/>
              <w:start w:w="120" w:type="dxa"/>
              <w:bottom w:w="80" w:type="dxa"/>
              <w:end w:w="120" w:type="dxa"/>
            </w:tcMar>
          </w:tcPr>
          <w:p>
            <w:pPr>
              <w:spacing w:before="0" w:after="0" w:line="252" w:lineRule="auto"/>
            </w:pPr>
            <w:r>
              <w:rPr>
                <w:rFonts w:ascii="Calibri" w:hAnsi="Calibri"/>
                <w:color w:val="172B3A"/>
                <w:sz w:val="19"/>
              </w:rPr>
              <w:t>A finite-state controller gates every launch. Runner uses a string argument list, shell=False, a per-trial timeout, and exactly one synchronous local worker process.</w:t>
            </w:r>
          </w:p>
        </w:tc>
      </w:tr>
      <w:tr>
        <w:trPr>
          <w:cantSplit/>
        </w:trPr>
        <w:tc>
          <w:tcPr>
            <w:tcW w:type="dxa" w:w="1900"/>
            <w:vAlign w:val="top"/>
            <w:tcMar>
              <w:top w:w="80" w:type="dxa"/>
              <w:start w:w="120" w:type="dxa"/>
              <w:bottom w:w="80" w:type="dxa"/>
              <w:end w:w="120" w:type="dxa"/>
            </w:tcMar>
          </w:tcPr>
          <w:p>
            <w:pPr>
              <w:spacing w:before="0" w:after="0" w:line="252" w:lineRule="auto"/>
            </w:pPr>
            <w:r>
              <w:rPr>
                <w:rFonts w:ascii="Calibri" w:hAnsi="Calibri"/>
                <w:color w:val="172B3A"/>
                <w:sz w:val="19"/>
              </w:rPr>
              <w:t>Evidence</w:t>
            </w:r>
          </w:p>
        </w:tc>
        <w:tc>
          <w:tcPr>
            <w:tcW w:type="dxa" w:w="7460"/>
            <w:vAlign w:val="top"/>
            <w:tcMar>
              <w:top w:w="80" w:type="dxa"/>
              <w:start w:w="120" w:type="dxa"/>
              <w:bottom w:w="80" w:type="dxa"/>
              <w:end w:w="120" w:type="dxa"/>
            </w:tcMar>
          </w:tcPr>
          <w:p>
            <w:pPr>
              <w:spacing w:before="0" w:after="0" w:line="252" w:lineRule="auto"/>
            </w:pPr>
            <w:r>
              <w:rPr>
                <w:rFonts w:ascii="Calibri" w:hAnsi="Calibri"/>
                <w:color w:val="172B3A"/>
                <w:sz w:val="19"/>
              </w:rPr>
              <w:t>Each attempt receives a unique directory and exactly one immutable TrialRecord. TrialHistory is append-only and checkpointed after every record.</w:t>
            </w:r>
          </w:p>
        </w:tc>
      </w:tr>
      <w:tr>
        <w:trPr>
          <w:cantSplit/>
        </w:trPr>
        <w:tc>
          <w:tcPr>
            <w:tcW w:type="dxa" w:w="1900"/>
            <w:vAlign w:val="top"/>
            <w:tcMar>
              <w:top w:w="80" w:type="dxa"/>
              <w:start w:w="120" w:type="dxa"/>
              <w:bottom w:w="80" w:type="dxa"/>
              <w:end w:w="120" w:type="dxa"/>
            </w:tcMar>
          </w:tcPr>
          <w:p>
            <w:pPr>
              <w:spacing w:before="0" w:after="0" w:line="252" w:lineRule="auto"/>
            </w:pPr>
            <w:r>
              <w:rPr>
                <w:rFonts w:ascii="Calibri" w:hAnsi="Calibri"/>
                <w:color w:val="172B3A"/>
                <w:sz w:val="19"/>
              </w:rPr>
              <w:t>Evaluation</w:t>
            </w:r>
          </w:p>
        </w:tc>
        <w:tc>
          <w:tcPr>
            <w:tcW w:type="dxa" w:w="7460"/>
            <w:vAlign w:val="top"/>
            <w:tcMar>
              <w:top w:w="80" w:type="dxa"/>
              <w:start w:w="120" w:type="dxa"/>
              <w:bottom w:w="80" w:type="dxa"/>
              <w:end w:w="120" w:type="dxa"/>
            </w:tcMar>
          </w:tcPr>
          <w:p>
            <w:pPr>
              <w:spacing w:before="0" w:after="0" w:line="252" w:lineRule="auto"/>
            </w:pPr>
            <w:r>
              <w:rPr>
                <w:rFonts w:ascii="Calibri" w:hAnsi="Calibri"/>
                <w:color w:val="172B3A"/>
                <w:sz w:val="19"/>
              </w:rPr>
              <w:t>Only execution-successful records with valid, finite values for every declared objective are eligible. Every and only non-dominated eligible record enters the Pareto Front.</w:t>
            </w:r>
          </w:p>
        </w:tc>
      </w:tr>
      <w:tr>
        <w:trPr>
          <w:cantSplit/>
        </w:trPr>
        <w:tc>
          <w:tcPr>
            <w:tcW w:type="dxa" w:w="1900"/>
            <w:vAlign w:val="top"/>
            <w:tcMar>
              <w:top w:w="80" w:type="dxa"/>
              <w:start w:w="120" w:type="dxa"/>
              <w:bottom w:w="80" w:type="dxa"/>
              <w:end w:w="120" w:type="dxa"/>
            </w:tcMar>
          </w:tcPr>
          <w:p>
            <w:pPr>
              <w:spacing w:before="0" w:after="0" w:line="252" w:lineRule="auto"/>
            </w:pPr>
            <w:r>
              <w:rPr>
                <w:rFonts w:ascii="Calibri" w:hAnsi="Calibri"/>
                <w:color w:val="172B3A"/>
                <w:sz w:val="19"/>
              </w:rPr>
              <w:t>Reporting</w:t>
            </w:r>
          </w:p>
        </w:tc>
        <w:tc>
          <w:tcPr>
            <w:tcW w:type="dxa" w:w="7460"/>
            <w:vAlign w:val="top"/>
            <w:tcMar>
              <w:top w:w="80" w:type="dxa"/>
              <w:start w:w="120" w:type="dxa"/>
              <w:bottom w:w="80" w:type="dxa"/>
              <w:end w:w="120" w:type="dxa"/>
            </w:tcMar>
          </w:tcPr>
          <w:p>
            <w:pPr>
              <w:spacing w:before="0" w:after="0" w:line="252" w:lineRule="auto"/>
            </w:pPr>
            <w:r>
              <w:rPr>
                <w:rFonts w:ascii="Calibri" w:hAnsi="Calibri"/>
                <w:color w:val="172B3A"/>
                <w:sz w:val="19"/>
              </w:rPr>
              <w:t>Authoritative exports are history.csv and pareto_front.csv, supported by resolved configuration, a summary, trial-local diagnostics, and an explanatory plot.</w:t>
            </w:r>
          </w:p>
        </w:tc>
      </w:tr>
    </w:tbl>
    <w:p>
      <w:pPr>
        <w:spacing w:before="0" w:after="40"/>
      </w:pPr>
      <w:r/>
    </w:p>
    <w:p>
      <w:pPr>
        <w:pStyle w:val="Heading2"/>
        <w:keepNext/>
      </w:pPr>
      <w:r>
        <w:t>End-to-End Lifecycle</w:t>
      </w:r>
    </w:p>
    <w:p>
      <w:pPr>
        <w:numPr>
          <w:ilvl w:val="0"/>
          <w:numId w:val="11"/>
        </w:numPr>
      </w:pPr>
      <w:r>
        <w:rPr>
          <w:rFonts w:ascii="Calibri" w:hAnsi="Calibri"/>
          <w:b/>
          <w:color w:val="172B3A"/>
        </w:rPr>
        <w:t>Initialize and validate.</w:t>
      </w:r>
      <w:r>
        <w:rPr>
          <w:rFonts w:ascii="Calibri" w:hAnsi="Calibri"/>
          <w:color w:val="172B3A"/>
        </w:rPr>
        <w:t xml:space="preserve"> Load the JSON configuration, reject all detectable contract errors before trial 1, create the run directory, and write the resolved configuration.</w:t>
      </w:r>
    </w:p>
    <w:p>
      <w:pPr>
        <w:numPr>
          <w:ilvl w:val="0"/>
          <w:numId w:val="11"/>
        </w:numPr>
      </w:pPr>
      <w:r>
        <w:rPr>
          <w:rFonts w:ascii="Calibri" w:hAnsi="Calibri"/>
          <w:b/>
          <w:color w:val="172B3A"/>
        </w:rPr>
        <w:t>Propose and gate.</w:t>
      </w:r>
      <w:r>
        <w:rPr>
          <w:rFonts w:ascii="Calibri" w:hAnsi="Calibri"/>
          <w:color w:val="172B3A"/>
        </w:rPr>
        <w:t xml:space="preserve"> Request a candidate from the registered algorithm, then evaluate StopPolicy before permission to launch.</w:t>
      </w:r>
    </w:p>
    <w:p>
      <w:pPr>
        <w:numPr>
          <w:ilvl w:val="0"/>
          <w:numId w:val="11"/>
        </w:numPr>
      </w:pPr>
      <w:r>
        <w:rPr>
          <w:rFonts w:ascii="Calibri" w:hAnsi="Calibri"/>
          <w:b/>
          <w:color w:val="172B3A"/>
        </w:rPr>
        <w:t>Execute and observe.</w:t>
      </w:r>
      <w:r>
        <w:rPr>
          <w:rFonts w:ascii="Calibri" w:hAnsi="Calibri"/>
          <w:color w:val="172B3A"/>
        </w:rPr>
        <w:t xml:space="preserve"> Create a unique trial directory, invoke one worker synchronously, and capture exit, timeout, cancellation, runtime, and diagnostic facts.</w:t>
      </w:r>
    </w:p>
    <w:p>
      <w:pPr>
        <w:numPr>
          <w:ilvl w:val="0"/>
          <w:numId w:val="11"/>
        </w:numPr>
      </w:pPr>
      <w:r>
        <w:rPr>
          <w:rFonts w:ascii="Calibri" w:hAnsi="Calibri"/>
          <w:b/>
          <w:color w:val="172B3A"/>
        </w:rPr>
        <w:t>Record and persist.</w:t>
      </w:r>
      <w:r>
        <w:rPr>
          <w:rFonts w:ascii="Calibri" w:hAnsi="Calibri"/>
          <w:color w:val="172B3A"/>
        </w:rPr>
        <w:t xml:space="preserve"> Parse the one-row CSV, build exactly one immutable TrialRecord, append it in order, and atomically checkpoint the complete history.</w:t>
      </w:r>
    </w:p>
    <w:p>
      <w:pPr>
        <w:numPr>
          <w:ilvl w:val="0"/>
          <w:numId w:val="11"/>
        </w:numPr>
      </w:pPr>
      <w:r>
        <w:rPr>
          <w:rFonts w:ascii="Calibri" w:hAnsi="Calibri"/>
          <w:b/>
          <w:color w:val="172B3A"/>
        </w:rPr>
        <w:t>Evaluate and stop.</w:t>
      </w:r>
      <w:r>
        <w:rPr>
          <w:rFonts w:ascii="Calibri" w:hAnsi="Calibri"/>
          <w:color w:val="172B3A"/>
        </w:rPr>
        <w:t xml:space="preserve"> Continue after recoverable worker or metrics failures when policy permits; stop on maximum trials, search exhaustion, cancellation, or fatal error.</w:t>
      </w:r>
    </w:p>
    <w:p>
      <w:pPr>
        <w:numPr>
          <w:ilvl w:val="0"/>
          <w:numId w:val="11"/>
        </w:numPr>
      </w:pPr>
      <w:r>
        <w:rPr>
          <w:rFonts w:ascii="Calibri" w:hAnsi="Calibri"/>
          <w:b/>
          <w:color w:val="172B3A"/>
        </w:rPr>
        <w:t>Finalize.</w:t>
      </w:r>
      <w:r>
        <w:rPr>
          <w:rFonts w:ascii="Calibri" w:hAnsi="Calibri"/>
          <w:color w:val="172B3A"/>
        </w:rPr>
        <w:t xml:space="preserve"> Derive the Pareto Front, assign a result status, export the required evidence, and report the termination reason.</w:t>
      </w:r>
    </w:p>
    <w:p>
      <w:pPr>
        <w:pStyle w:val="Heading1"/>
        <w:keepNext/>
      </w:pPr>
      <w:r>
        <w:t>Authorized MVP Scope and Deliverables</w:t>
      </w:r>
    </w:p>
    <w:p>
      <w:pPr/>
      <w:r>
        <w:rPr>
          <w:rFonts w:ascii="Calibri" w:hAnsi="Calibri"/>
          <w:color w:val="172B3A"/>
        </w:rPr>
        <w:t>The MVP is deliberately bounded: local, synchronous, sequential execution; integer, float, and categorical parameters; two or more objectives; seeded RandomSearch through a registry; explicit StopPolicy; immutable TrialRecords and append-only persistence; mixed-direction Pareto evaluation; reporting; a demonstration worker; tests; and repository guidance. The demonstration baseline tunes learning_rate, temperature, and batch_size while maximizing accuracy and minimizing loss and training_time.</w:t>
      </w:r>
    </w:p>
    <w:tbl>
      <w:tblPr>
        <w:tblW w:type="dxa" w:w="9360"/>
        <w:tblLayout w:type="fixed"/>
        <w:tblLook w:firstColumn="1" w:firstRow="1" w:lastColumn="0" w:lastRow="0" w:noHBand="0" w:noVBand="1" w:val="04A0"/>
        <w:jc w:val="left"/>
        <w:tblInd w:w="120" w:type="dxa"/>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2800"/>
        <w:gridCol w:w="6560"/>
      </w:tblGrid>
      <w:tr>
        <w:trPr>
          <w:cantSplit/>
          <w:tblHeader w:val="true"/>
        </w:trPr>
        <w:tc>
          <w:tcPr>
            <w:tcW w:type="dxa" w:w="2800"/>
            <w:tcMar>
              <w:top w:w="80" w:type="dxa"/>
              <w:start w:w="120" w:type="dxa"/>
              <w:bottom w:w="80" w:type="dxa"/>
              <w:end w:w="120" w:type="dxa"/>
            </w:tcMar>
            <w:shd w:fill="F2F4F7" w:val="clear"/>
            <w:vAlign w:val="center"/>
          </w:tcPr>
          <w:p>
            <w:pPr>
              <w:spacing w:before="0" w:after="0" w:line="240" w:lineRule="auto"/>
            </w:pPr>
            <w:r>
              <w:rPr>
                <w:rFonts w:ascii="Calibri" w:hAnsi="Calibri"/>
                <w:b/>
                <w:color w:val="172B3A"/>
                <w:sz w:val="19"/>
              </w:rPr>
              <w:t>Work stream</w:t>
            </w:r>
          </w:p>
        </w:tc>
        <w:tc>
          <w:tcPr>
            <w:tcW w:type="dxa" w:w="6560"/>
            <w:tcMar>
              <w:top w:w="80" w:type="dxa"/>
              <w:start w:w="120" w:type="dxa"/>
              <w:bottom w:w="80" w:type="dxa"/>
              <w:end w:w="120" w:type="dxa"/>
            </w:tcMar>
            <w:shd w:fill="F2F4F7" w:val="clear"/>
            <w:vAlign w:val="center"/>
          </w:tcPr>
          <w:p>
            <w:pPr>
              <w:spacing w:before="0" w:after="0" w:line="240" w:lineRule="auto"/>
            </w:pPr>
            <w:r>
              <w:rPr>
                <w:rFonts w:ascii="Calibri" w:hAnsi="Calibri"/>
                <w:b/>
                <w:color w:val="172B3A"/>
                <w:sz w:val="19"/>
              </w:rPr>
              <w:t>Scope of delivery</w:t>
            </w:r>
          </w:p>
        </w:tc>
      </w:tr>
      <w:tr>
        <w:trPr>
          <w:cantSplit/>
        </w:trPr>
        <w:tc>
          <w:tcPr>
            <w:tcW w:type="dxa" w:w="2800"/>
            <w:vAlign w:val="top"/>
            <w:tcMar>
              <w:top w:w="80" w:type="dxa"/>
              <w:start w:w="120" w:type="dxa"/>
              <w:bottom w:w="80" w:type="dxa"/>
              <w:end w:w="120" w:type="dxa"/>
            </w:tcMar>
          </w:tcPr>
          <w:p>
            <w:pPr>
              <w:spacing w:before="0" w:after="0" w:line="252" w:lineRule="auto"/>
            </w:pPr>
            <w:r>
              <w:rPr>
                <w:rFonts w:ascii="Calibri" w:hAnsi="Calibri"/>
                <w:color w:val="172B3A"/>
                <w:sz w:val="19"/>
              </w:rPr>
              <w:t>Governance &amp; contracts (WP-01–02)</w:t>
            </w:r>
          </w:p>
        </w:tc>
        <w:tc>
          <w:tcPr>
            <w:tcW w:type="dxa" w:w="6560"/>
            <w:vAlign w:val="top"/>
            <w:tcMar>
              <w:top w:w="80" w:type="dxa"/>
              <w:start w:w="120" w:type="dxa"/>
              <w:bottom w:w="80" w:type="dxa"/>
              <w:end w:w="120" w:type="dxa"/>
            </w:tcMar>
          </w:tcPr>
          <w:p>
            <w:pPr>
              <w:spacing w:before="0" w:after="0" w:line="252" w:lineRule="auto"/>
            </w:pPr>
            <w:r>
              <w:rPr>
                <w:rFonts w:ascii="Calibri" w:hAnsi="Calibri"/>
                <w:color w:val="172B3A"/>
                <w:sz w:val="19"/>
              </w:rPr>
              <w:t>Controlled documents, change record, validated immutable domain models, configuration loader, fixtures, and unit tests.</w:t>
            </w:r>
          </w:p>
        </w:tc>
      </w:tr>
      <w:tr>
        <w:trPr>
          <w:cantSplit/>
        </w:trPr>
        <w:tc>
          <w:tcPr>
            <w:tcW w:type="dxa" w:w="2800"/>
            <w:vAlign w:val="top"/>
            <w:tcMar>
              <w:top w:w="80" w:type="dxa"/>
              <w:start w:w="120" w:type="dxa"/>
              <w:bottom w:w="80" w:type="dxa"/>
              <w:end w:w="120" w:type="dxa"/>
            </w:tcMar>
          </w:tcPr>
          <w:p>
            <w:pPr>
              <w:spacing w:before="0" w:after="0" w:line="252" w:lineRule="auto"/>
            </w:pPr>
            <w:r>
              <w:rPr>
                <w:rFonts w:ascii="Calibri" w:hAnsi="Calibri"/>
                <w:color w:val="172B3A"/>
                <w:sz w:val="19"/>
              </w:rPr>
              <w:t>Execution &amp; evidence (WP-03–04)</w:t>
            </w:r>
          </w:p>
        </w:tc>
        <w:tc>
          <w:tcPr>
            <w:tcW w:type="dxa" w:w="6560"/>
            <w:vAlign w:val="top"/>
            <w:tcMar>
              <w:top w:w="80" w:type="dxa"/>
              <w:start w:w="120" w:type="dxa"/>
              <w:bottom w:w="80" w:type="dxa"/>
              <w:end w:w="120" w:type="dxa"/>
            </w:tcMar>
          </w:tcPr>
          <w:p>
            <w:pPr>
              <w:spacing w:before="0" w:after="0" w:line="252" w:lineRule="auto"/>
            </w:pPr>
            <w:r>
              <w:rPr>
                <w:rFonts w:ascii="Calibri" w:hAnsi="Calibri"/>
                <w:color w:val="172B3A"/>
                <w:sz w:val="19"/>
              </w:rPr>
              <w:t>Controller, StopPolicy, Runner, metrics parsing, TrialRecord factory, TrialHistory, unique trial directories, and atomic history checkpoints.</w:t>
            </w:r>
          </w:p>
        </w:tc>
      </w:tr>
      <w:tr>
        <w:trPr>
          <w:cantSplit/>
        </w:trPr>
        <w:tc>
          <w:tcPr>
            <w:tcW w:type="dxa" w:w="2800"/>
            <w:vAlign w:val="top"/>
            <w:tcMar>
              <w:top w:w="80" w:type="dxa"/>
              <w:start w:w="120" w:type="dxa"/>
              <w:bottom w:w="80" w:type="dxa"/>
              <w:end w:w="120" w:type="dxa"/>
            </w:tcMar>
          </w:tcPr>
          <w:p>
            <w:pPr>
              <w:spacing w:before="0" w:after="0" w:line="252" w:lineRule="auto"/>
            </w:pPr>
            <w:r>
              <w:rPr>
                <w:rFonts w:ascii="Calibri" w:hAnsi="Calibri"/>
                <w:color w:val="172B3A"/>
                <w:sz w:val="19"/>
              </w:rPr>
              <w:t>Search &amp; evaluation (WP-05–06)</w:t>
            </w:r>
          </w:p>
        </w:tc>
        <w:tc>
          <w:tcPr>
            <w:tcW w:type="dxa" w:w="6560"/>
            <w:vAlign w:val="top"/>
            <w:tcMar>
              <w:top w:w="80" w:type="dxa"/>
              <w:start w:w="120" w:type="dxa"/>
              <w:bottom w:w="80" w:type="dxa"/>
              <w:end w:w="120" w:type="dxa"/>
            </w:tcMar>
          </w:tcPr>
          <w:p>
            <w:pPr>
              <w:spacing w:before="0" w:after="0" w:line="252" w:lineRule="auto"/>
            </w:pPr>
            <w:r>
              <w:rPr>
                <w:rFonts w:ascii="Calibri" w:hAnsi="Calibri"/>
                <w:color w:val="172B3A"/>
                <w:sz w:val="19"/>
              </w:rPr>
              <w:t>Algorithm registry, seeded duplicate-aware RandomSearch, explicit finite-space exhaustion, Pareto evaluator, Optimization Result, and known fixtures.</w:t>
            </w:r>
          </w:p>
        </w:tc>
      </w:tr>
      <w:tr>
        <w:trPr>
          <w:cantSplit/>
        </w:trPr>
        <w:tc>
          <w:tcPr>
            <w:tcW w:type="dxa" w:w="2800"/>
            <w:vAlign w:val="top"/>
            <w:tcMar>
              <w:top w:w="80" w:type="dxa"/>
              <w:start w:w="120" w:type="dxa"/>
              <w:bottom w:w="80" w:type="dxa"/>
              <w:end w:w="120" w:type="dxa"/>
            </w:tcMar>
          </w:tcPr>
          <w:p>
            <w:pPr>
              <w:spacing w:before="0" w:after="0" w:line="252" w:lineRule="auto"/>
            </w:pPr>
            <w:r>
              <w:rPr>
                <w:rFonts w:ascii="Calibri" w:hAnsi="Calibri"/>
                <w:color w:val="172B3A"/>
                <w:sz w:val="19"/>
              </w:rPr>
              <w:t>Demo, reporting &amp; handoff (WP-07–08)</w:t>
            </w:r>
          </w:p>
        </w:tc>
        <w:tc>
          <w:tcPr>
            <w:tcW w:type="dxa" w:w="6560"/>
            <w:vAlign w:val="top"/>
            <w:tcMar>
              <w:top w:w="80" w:type="dxa"/>
              <w:start w:w="120" w:type="dxa"/>
              <w:bottom w:w="80" w:type="dxa"/>
              <w:end w:w="120" w:type="dxa"/>
            </w:tcMar>
          </w:tcPr>
          <w:p>
            <w:pPr>
              <w:spacing w:before="0" w:after="0" w:line="252" w:lineRule="auto"/>
            </w:pPr>
            <w:r>
              <w:rPr>
                <w:rFonts w:ascii="Calibri" w:hAnsi="Calibri"/>
                <w:color w:val="172B3A"/>
                <w:sz w:val="19"/>
              </w:rPr>
              <w:t>External demo worker, required exports and visualization, verification suite, README, clean-checkout demonstration, and final handoff checklist.</w:t>
            </w:r>
          </w:p>
        </w:tc>
      </w:tr>
    </w:tbl>
    <w:p>
      <w:pPr>
        <w:spacing w:before="0" w:after="40"/>
      </w:pPr>
      <w:r/>
    </w:p>
    <w:p>
      <w:pPr/>
      <w:r>
        <w:rPr>
          <w:rFonts w:ascii="Calibri" w:hAnsi="Calibri"/>
          <w:color w:val="172B3A"/>
        </w:rPr>
        <w:t>Explicitly excluded are networking, remote or distributed execution, concurrency, resume/restart state, additional search algorithms, arbitrary plugin discovery, weighted winner selection, worker-source inspection, GUIs, databases, hosted services, authentication, and production monitoring. These exclusions protect the vertical slice and keep the course project verifiable.</w:t>
      </w:r>
    </w:p>
    <w:p>
      <w:pPr>
        <w:pStyle w:val="Heading1"/>
        <w:keepNext/>
      </w:pPr>
      <w:r>
        <w:t>Acceptance and Quality Gates</w:t>
      </w:r>
    </w:p>
    <w:p>
      <w:pPr/>
      <w:r>
        <w:rPr>
          <w:rFonts w:ascii="Calibri" w:hAnsi="Calibri"/>
          <w:color w:val="172B3A"/>
        </w:rPr>
        <w:t>Acceptance is evidence-based. The baseline requires unit, contract, component, integration, and end-to-end tests that trace to the Scope of Work. The most consequential gates are:</w:t>
      </w:r>
    </w:p>
    <w:p>
      <w:pPr>
        <w:numPr>
          <w:ilvl w:val="0"/>
          <w:numId w:val="10"/>
        </w:numPr>
      </w:pPr>
      <w:r>
        <w:rPr>
          <w:rFonts w:ascii="Calibri" w:hAnsi="Calibri"/>
          <w:color w:val="172B3A"/>
        </w:rPr>
        <w:t>A valid configuration completes end to end and produces the resolved configuration, full history, Pareto export, summary, termination reason, and visualization.</w:t>
      </w:r>
    </w:p>
    <w:p>
      <w:pPr>
        <w:numPr>
          <w:ilvl w:val="0"/>
          <w:numId w:val="10"/>
        </w:numPr>
      </w:pPr>
      <w:r>
        <w:rPr>
          <w:rFonts w:ascii="Calibri" w:hAnsi="Calibri"/>
          <w:color w:val="172B3A"/>
        </w:rPr>
        <w:t>The same contract, algorithm settings, seed, and ordered history reproduce the same next proposal; finite spaces exhaust without duplicate looping.</w:t>
      </w:r>
    </w:p>
    <w:p>
      <w:pPr>
        <w:numPr>
          <w:ilvl w:val="0"/>
          <w:numId w:val="10"/>
        </w:numPr>
      </w:pPr>
      <w:r>
        <w:rPr>
          <w:rFonts w:ascii="Calibri" w:hAnsi="Calibri"/>
          <w:color w:val="172B3A"/>
        </w:rPr>
        <w:t>Every attempted execution creates one record, including launch failure, nonzero exit, timeout, cancellation, or malformed/missing metrics; recoverable failures do not end the run prematurely.</w:t>
      </w:r>
    </w:p>
    <w:p>
      <w:pPr>
        <w:numPr>
          <w:ilvl w:val="0"/>
          <w:numId w:val="10"/>
        </w:numPr>
      </w:pPr>
      <w:r>
        <w:rPr>
          <w:rFonts w:ascii="Calibri" w:hAnsi="Calibri"/>
          <w:color w:val="172B3A"/>
        </w:rPr>
        <w:t>A hand-calculated mixed-direction fixture returns the exact expected non-dominated trial identifiers, including valid trade-offs and equal objective vectors.</w:t>
      </w:r>
    </w:p>
    <w:p>
      <w:pPr>
        <w:numPr>
          <w:ilvl w:val="0"/>
          <w:numId w:val="10"/>
        </w:numPr>
      </w:pPr>
      <w:r>
        <w:rPr>
          <w:rFonts w:ascii="Calibri" w:hAnsi="Calibri"/>
          <w:color w:val="172B3A"/>
        </w:rPr>
        <w:t>A reviewer can reproduce the demonstration from a clean checkout in the supported Python environment, with no networking, concurrency, or resume path present.</w:t>
      </w:r>
    </w:p>
    <w:p>
      <w:pPr>
        <w:pStyle w:val="Heading1"/>
        <w:keepNext/>
      </w:pPr>
      <w:r>
        <w:t>Governance, Risks, and Open Decisions</w:t>
      </w:r>
    </w:p>
    <w:p>
      <w:pPr/>
      <w:r>
        <w:rPr>
          <w:rFonts w:ascii="Calibri" w:hAnsi="Calibri"/>
          <w:color w:val="172B3A"/>
        </w:rPr>
        <w:t>Material changes—such as altering the JSON/CLI/CSV contracts, adding another algorithm or execution mode, changing eligibility or Pareto semantics, or introducing networking, concurrency, resume, a database, or a GUI—require recorded impact analysis and team ratification before becoming baseline. This change-control discipline is the primary defense against scope growth and interface drift.</w:t>
      </w:r>
    </w:p>
    <w:tbl>
      <w:tblPr>
        <w:tblW w:type="dxa" w:w="9360"/>
        <w:tblLayout w:type="fixed"/>
        <w:tblLook w:firstColumn="1" w:firstRow="1" w:lastColumn="0" w:lastRow="0" w:noHBand="0" w:noVBand="1" w:val="04A0"/>
        <w:jc w:val="left"/>
        <w:tblInd w:w="120" w:type="dxa"/>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2750"/>
        <w:gridCol w:w="6610"/>
      </w:tblGrid>
      <w:tr>
        <w:trPr>
          <w:cantSplit/>
          <w:tblHeader w:val="true"/>
        </w:trPr>
        <w:tc>
          <w:tcPr>
            <w:tcW w:type="dxa" w:w="2750"/>
            <w:tcMar>
              <w:top w:w="80" w:type="dxa"/>
              <w:start w:w="120" w:type="dxa"/>
              <w:bottom w:w="80" w:type="dxa"/>
              <w:end w:w="120" w:type="dxa"/>
            </w:tcMar>
            <w:shd w:fill="F2F4F7" w:val="clear"/>
            <w:vAlign w:val="center"/>
          </w:tcPr>
          <w:p>
            <w:pPr>
              <w:spacing w:before="0" w:after="0" w:line="240" w:lineRule="auto"/>
            </w:pPr>
            <w:r>
              <w:rPr>
                <w:rFonts w:ascii="Calibri" w:hAnsi="Calibri"/>
                <w:b/>
                <w:color w:val="172B3A"/>
                <w:sz w:val="19"/>
              </w:rPr>
              <w:t>Priority issue</w:t>
            </w:r>
          </w:p>
        </w:tc>
        <w:tc>
          <w:tcPr>
            <w:tcW w:type="dxa" w:w="6610"/>
            <w:tcMar>
              <w:top w:w="80" w:type="dxa"/>
              <w:start w:w="120" w:type="dxa"/>
              <w:bottom w:w="80" w:type="dxa"/>
              <w:end w:w="120" w:type="dxa"/>
            </w:tcMar>
            <w:shd w:fill="F2F4F7" w:val="clear"/>
            <w:vAlign w:val="center"/>
          </w:tcPr>
          <w:p>
            <w:pPr>
              <w:spacing w:before="0" w:after="0" w:line="240" w:lineRule="auto"/>
            </w:pPr>
            <w:r>
              <w:rPr>
                <w:rFonts w:ascii="Calibri" w:hAnsi="Calibri"/>
                <w:b/>
                <w:color w:val="172B3A"/>
                <w:sz w:val="19"/>
              </w:rPr>
              <w:t>Executive implication / response</w:t>
            </w:r>
          </w:p>
        </w:tc>
      </w:tr>
      <w:tr>
        <w:trPr>
          <w:cantSplit/>
        </w:trPr>
        <w:tc>
          <w:tcPr>
            <w:tcW w:type="dxa" w:w="2750"/>
            <w:vAlign w:val="top"/>
            <w:tcMar>
              <w:top w:w="80" w:type="dxa"/>
              <w:start w:w="120" w:type="dxa"/>
              <w:bottom w:w="80" w:type="dxa"/>
              <w:end w:w="120" w:type="dxa"/>
            </w:tcMar>
          </w:tcPr>
          <w:p>
            <w:pPr>
              <w:spacing w:before="0" w:after="0" w:line="252" w:lineRule="auto"/>
            </w:pPr>
            <w:r>
              <w:rPr>
                <w:rFonts w:ascii="Calibri" w:hAnsi="Calibri"/>
                <w:color w:val="172B3A"/>
                <w:sz w:val="19"/>
              </w:rPr>
              <w:t>Approvals remain pending</w:t>
            </w:r>
          </w:p>
        </w:tc>
        <w:tc>
          <w:tcPr>
            <w:tcW w:type="dxa" w:w="6610"/>
            <w:vAlign w:val="top"/>
            <w:tcMar>
              <w:top w:w="80" w:type="dxa"/>
              <w:start w:w="120" w:type="dxa"/>
              <w:bottom w:w="80" w:type="dxa"/>
              <w:end w:w="120" w:type="dxa"/>
            </w:tcMar>
          </w:tcPr>
          <w:p>
            <w:pPr>
              <w:spacing w:before="0" w:after="0" w:line="252" w:lineRule="auto"/>
            </w:pPr>
            <w:r>
              <w:rPr>
                <w:rFonts w:ascii="Calibri" w:hAnsi="Calibri"/>
                <w:color w:val="172B3A"/>
                <w:sz w:val="19"/>
              </w:rPr>
              <w:t>The Charter and SOW need team ratification; the TDS needs technical approval before the baseline is effective.</w:t>
            </w:r>
          </w:p>
        </w:tc>
      </w:tr>
      <w:tr>
        <w:trPr>
          <w:cantSplit/>
        </w:trPr>
        <w:tc>
          <w:tcPr>
            <w:tcW w:type="dxa" w:w="2750"/>
            <w:vAlign w:val="top"/>
            <w:tcMar>
              <w:top w:w="80" w:type="dxa"/>
              <w:start w:w="120" w:type="dxa"/>
              <w:bottom w:w="80" w:type="dxa"/>
              <w:end w:w="120" w:type="dxa"/>
            </w:tcMar>
          </w:tcPr>
          <w:p>
            <w:pPr>
              <w:spacing w:before="0" w:after="0" w:line="252" w:lineRule="auto"/>
            </w:pPr>
            <w:r>
              <w:rPr>
                <w:rFonts w:ascii="Calibri" w:hAnsi="Calibri"/>
                <w:color w:val="172B3A"/>
                <w:sz w:val="19"/>
              </w:rPr>
              <w:t>Ownership and dates are TBD</w:t>
            </w:r>
          </w:p>
        </w:tc>
        <w:tc>
          <w:tcPr>
            <w:tcW w:type="dxa" w:w="6610"/>
            <w:vAlign w:val="top"/>
            <w:tcMar>
              <w:top w:w="80" w:type="dxa"/>
              <w:start w:w="120" w:type="dxa"/>
              <w:bottom w:w="80" w:type="dxa"/>
              <w:end w:w="120" w:type="dxa"/>
            </w:tcMar>
          </w:tcPr>
          <w:p>
            <w:pPr>
              <w:spacing w:before="0" w:after="0" w:line="252" w:lineRule="auto"/>
            </w:pPr>
            <w:r>
              <w:rPr>
                <w:rFonts w:ascii="Calibri" w:hAnsi="Calibri"/>
                <w:color w:val="172B3A"/>
                <w:sz w:val="19"/>
              </w:rPr>
              <w:t>Assign one owner and one reviewer to each WP-01 through WP-08 and populate dependency-ordered milestones once the course deadline is confirmed.</w:t>
            </w:r>
          </w:p>
        </w:tc>
      </w:tr>
      <w:tr>
        <w:trPr>
          <w:cantSplit/>
        </w:trPr>
        <w:tc>
          <w:tcPr>
            <w:tcW w:type="dxa" w:w="2750"/>
            <w:vAlign w:val="top"/>
            <w:tcMar>
              <w:top w:w="80" w:type="dxa"/>
              <w:start w:w="120" w:type="dxa"/>
              <w:bottom w:w="80" w:type="dxa"/>
              <w:end w:w="120" w:type="dxa"/>
            </w:tcMar>
          </w:tcPr>
          <w:p>
            <w:pPr>
              <w:spacing w:before="0" w:after="0" w:line="252" w:lineRule="auto"/>
            </w:pPr>
            <w:r>
              <w:rPr>
                <w:rFonts w:ascii="Calibri" w:hAnsi="Calibri"/>
                <w:color w:val="172B3A"/>
                <w:sz w:val="19"/>
              </w:rPr>
              <w:t>Course requirements are unresolved</w:t>
            </w:r>
          </w:p>
        </w:tc>
        <w:tc>
          <w:tcPr>
            <w:tcW w:type="dxa" w:w="6610"/>
            <w:vAlign w:val="top"/>
            <w:tcMar>
              <w:top w:w="80" w:type="dxa"/>
              <w:start w:w="120" w:type="dxa"/>
              <w:bottom w:w="80" w:type="dxa"/>
              <w:end w:w="120" w:type="dxa"/>
            </w:tcMar>
          </w:tcPr>
          <w:p>
            <w:pPr>
              <w:spacing w:before="0" w:after="0" w:line="252" w:lineRule="auto"/>
            </w:pPr>
            <w:r>
              <w:rPr>
                <w:rFonts w:ascii="Calibri" w:hAnsi="Calibri"/>
                <w:color w:val="172B3A"/>
                <w:sz w:val="19"/>
              </w:rPr>
              <w:t>Professor/instructor guidance may add artifacts or constraints; incorporate it through controlled revisions across all affected documents.</w:t>
            </w:r>
          </w:p>
        </w:tc>
      </w:tr>
      <w:tr>
        <w:trPr>
          <w:cantSplit/>
        </w:trPr>
        <w:tc>
          <w:tcPr>
            <w:tcW w:type="dxa" w:w="2750"/>
            <w:vAlign w:val="top"/>
            <w:tcMar>
              <w:top w:w="80" w:type="dxa"/>
              <w:start w:w="120" w:type="dxa"/>
              <w:bottom w:w="80" w:type="dxa"/>
              <w:end w:w="120" w:type="dxa"/>
            </w:tcMar>
          </w:tcPr>
          <w:p>
            <w:pPr>
              <w:spacing w:before="0" w:after="0" w:line="252" w:lineRule="auto"/>
            </w:pPr>
            <w:r>
              <w:rPr>
                <w:rFonts w:ascii="Calibri" w:hAnsi="Calibri"/>
                <w:color w:val="172B3A"/>
                <w:sz w:val="19"/>
              </w:rPr>
              <w:t>Document status needs synchronization</w:t>
            </w:r>
          </w:p>
        </w:tc>
        <w:tc>
          <w:tcPr>
            <w:tcW w:type="dxa" w:w="6610"/>
            <w:vAlign w:val="top"/>
            <w:tcMar>
              <w:top w:w="80" w:type="dxa"/>
              <w:start w:w="120" w:type="dxa"/>
              <w:bottom w:w="80" w:type="dxa"/>
              <w:end w:w="120" w:type="dxa"/>
            </w:tcMar>
          </w:tcPr>
          <w:p>
            <w:pPr>
              <w:spacing w:before="0" w:after="0" w:line="252" w:lineRule="auto"/>
            </w:pPr>
            <w:r>
              <w:rPr>
                <w:rFonts w:ascii="Calibri" w:hAnsi="Calibri"/>
                <w:color w:val="172B3A"/>
                <w:sz w:val="19"/>
              </w:rPr>
              <w:t>The SOW still states that the TDS is “not yet issued.” Update that control table now that BBO-TDS-001 Draft v0.1 exists.</w:t>
            </w:r>
          </w:p>
        </w:tc>
      </w:tr>
      <w:tr>
        <w:trPr>
          <w:cantSplit/>
        </w:trPr>
        <w:tc>
          <w:tcPr>
            <w:tcW w:type="dxa" w:w="2750"/>
            <w:vAlign w:val="top"/>
            <w:tcMar>
              <w:top w:w="80" w:type="dxa"/>
              <w:start w:w="120" w:type="dxa"/>
              <w:bottom w:w="80" w:type="dxa"/>
              <w:end w:w="120" w:type="dxa"/>
            </w:tcMar>
          </w:tcPr>
          <w:p>
            <w:pPr>
              <w:spacing w:before="0" w:after="0" w:line="252" w:lineRule="auto"/>
            </w:pPr>
            <w:r>
              <w:rPr>
                <w:rFonts w:ascii="Calibri" w:hAnsi="Calibri"/>
                <w:color w:val="172B3A"/>
                <w:sz w:val="19"/>
              </w:rPr>
              <w:t>Integration and contract drift</w:t>
            </w:r>
          </w:p>
        </w:tc>
        <w:tc>
          <w:tcPr>
            <w:tcW w:type="dxa" w:w="6610"/>
            <w:vAlign w:val="top"/>
            <w:tcMar>
              <w:top w:w="80" w:type="dxa"/>
              <w:start w:w="120" w:type="dxa"/>
              <w:bottom w:w="80" w:type="dxa"/>
              <w:end w:w="120" w:type="dxa"/>
            </w:tcMar>
          </w:tcPr>
          <w:p>
            <w:pPr>
              <w:spacing w:before="0" w:after="0" w:line="252" w:lineRule="auto"/>
            </w:pPr>
            <w:r>
              <w:rPr>
                <w:rFonts w:ascii="Calibri" w:hAnsi="Calibri"/>
                <w:color w:val="172B3A"/>
                <w:sz w:val="19"/>
              </w:rPr>
              <w:t>Freeze approved JSON/CSV fixtures and public interfaces, then prove a one-trial vertical slice before building the full loop.</w:t>
            </w:r>
          </w:p>
        </w:tc>
      </w:tr>
    </w:tbl>
    <w:p>
      <w:pPr>
        <w:spacing w:before="0" w:after="40"/>
      </w:pPr>
      <w:r/>
    </w:p>
    <w:p>
      <w:pPr>
        <w:pStyle w:val="Heading1"/>
        <w:keepNext/>
      </w:pPr>
      <w:r>
        <w:t>Recommended Immediate Next Steps</w:t>
      </w:r>
    </w:p>
    <w:p>
      <w:pPr>
        <w:numPr>
          <w:ilvl w:val="0"/>
          <w:numId w:val="12"/>
        </w:numPr>
      </w:pPr>
      <w:r>
        <w:rPr>
          <w:rFonts w:ascii="Calibri" w:hAnsi="Calibri"/>
          <w:b/>
          <w:color w:val="172B3A"/>
        </w:rPr>
        <w:t>Review and ratify the baseline.</w:t>
      </w:r>
      <w:r>
        <w:rPr>
          <w:rFonts w:ascii="Calibri" w:hAnsi="Calibri"/>
          <w:color w:val="172B3A"/>
        </w:rPr>
        <w:t xml:space="preserve"> Resolve comments across the Charter, SOW, and TDS; record decisions, dates, effective status, and instructor guidance.</w:t>
      </w:r>
    </w:p>
    <w:p>
      <w:pPr>
        <w:numPr>
          <w:ilvl w:val="0"/>
          <w:numId w:val="12"/>
        </w:numPr>
      </w:pPr>
      <w:r>
        <w:rPr>
          <w:rFonts w:ascii="Calibri" w:hAnsi="Calibri"/>
          <w:b/>
          <w:color w:val="172B3A"/>
        </w:rPr>
        <w:t>Assign the work.</w:t>
      </w:r>
      <w:r>
        <w:rPr>
          <w:rFonts w:ascii="Calibri" w:hAnsi="Calibri"/>
          <w:color w:val="172B3A"/>
        </w:rPr>
        <w:t xml:space="preserve"> Name an owner and interface reviewer for every work package, plus an integration owner for the controller-level vertical slice.</w:t>
      </w:r>
    </w:p>
    <w:p>
      <w:pPr>
        <w:numPr>
          <w:ilvl w:val="0"/>
          <w:numId w:val="12"/>
        </w:numPr>
      </w:pPr>
      <w:r>
        <w:rPr>
          <w:rFonts w:ascii="Calibri" w:hAnsi="Calibri"/>
          <w:b/>
          <w:color w:val="172B3A"/>
        </w:rPr>
        <w:t>Synchronize controlled documents.</w:t>
      </w:r>
      <w:r>
        <w:rPr>
          <w:rFonts w:ascii="Calibri" w:hAnsi="Calibri"/>
          <w:color w:val="172B3A"/>
        </w:rPr>
        <w:t xml:space="preserve"> Update the SOW’s TDS status, align cross-references, and maintain one shared vocabulary and change record.</w:t>
      </w:r>
    </w:p>
    <w:p>
      <w:pPr>
        <w:numPr>
          <w:ilvl w:val="0"/>
          <w:numId w:val="12"/>
        </w:numPr>
      </w:pPr>
      <w:r>
        <w:rPr>
          <w:rFonts w:ascii="Calibri" w:hAnsi="Calibri"/>
          <w:b/>
          <w:color w:val="172B3A"/>
        </w:rPr>
        <w:t>Freeze contracts and build the vertical slice.</w:t>
      </w:r>
      <w:r>
        <w:rPr>
          <w:rFonts w:ascii="Calibri" w:hAnsi="Calibri"/>
          <w:color w:val="172B3A"/>
        </w:rPr>
        <w:t xml:space="preserve"> Approve the example JSON, CLI conversion, one-row CSV, TrialRecord fields, and output schema; then demonstrate Candidate → Worker → Metrics → TrialRecord.</w:t>
      </w:r>
    </w:p>
    <w:p>
      <w:pPr>
        <w:numPr>
          <w:ilvl w:val="0"/>
          <w:numId w:val="12"/>
        </w:numPr>
      </w:pPr>
      <w:r>
        <w:rPr>
          <w:rFonts w:ascii="Calibri" w:hAnsi="Calibri"/>
          <w:b/>
          <w:color w:val="172B3A"/>
        </w:rPr>
        <w:t>Integrate in dependency order.</w:t>
      </w:r>
      <w:r>
        <w:rPr>
          <w:rFonts w:ascii="Calibri" w:hAnsi="Calibri"/>
          <w:color w:val="172B3A"/>
        </w:rPr>
        <w:t xml:space="preserve"> Complete the sequential loop, Pareto fixture, reporting, failure handling, and AT-01 through AT-16 evidence before submission readiness review.</w:t>
      </w:r>
    </w:p>
    <w:p>
      <w:pPr>
        <w:pStyle w:val="Heading1"/>
        <w:keepNext/>
      </w:pPr>
      <w:r>
        <w:t>Bottom Line</w:t>
      </w:r>
    </w:p>
    <w:p>
      <w:pPr/>
      <w:r>
        <w:rPr>
          <w:rFonts w:ascii="Calibri" w:hAnsi="Calibri"/>
          <w:color w:val="172B3A"/>
        </w:rPr>
        <w:t>The Black Box Optimizer has a strong, internally consistent design baseline: it is deliberately local, modular, auditable, reproducible, and bounded. The major remaining risks are administrative and integration-oriented rather than conceptual. Formal approval, ownership, schedule alignment, contract freezing, and an early end-to-end vertical slice will convert the current specification package into an executable team plan.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55555"/>
        <w:sz w:val="18"/>
      </w:rPr>
      <w:t xml:space="preserve">Draft baseline review  •  </w:t>
    </w:r>
    <w:r>
      <w:rPr>
        <w:rFonts w:ascii="Calibri" w:hAnsi="Calibri"/>
        <w:color w:val="555555"/>
        <w:sz w:val="18"/>
      </w:rPr>
      <w:fldChar w:fldCharType="begin"/>
      <w:instrText xml:space="preserve"> PAGE </w:instrText>
      <w:fldChar w:fldCharType="separate"/>
      <w:t>1</w:t>
      <w:fldChar w:fldCharType="end"/>
    </w:r>
    <w:r>
      <w:rPr>
        <w:rFonts w:ascii="Calibri" w:hAnsi="Calibri"/>
        <w:color w:val="555555"/>
        <w:sz w:val="18"/>
      </w:rPr>
      <w:t xml:space="preserve"> of </w:t>
    </w:r>
    <w:r>
      <w:rPr>
        <w:rFonts w:ascii="Calibri" w:hAnsi="Calibri"/>
        <w:color w:val="555555"/>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55555"/>
        <w:sz w:val="17"/>
      </w:rPr>
      <w:t>BLACK BOX OPTIMIZER  |  EXECUTIVE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40" w:lineRule="auto"/>
    </w:pPr>
    <w:rPr>
      <w:rFonts w:asciiTheme="majorHAnsi" w:eastAsiaTheme="majorEastAsia" w:hAnsiTheme="majorHAnsi" w:cstheme="majorBidi" w:ascii="Calibri" w:hAnsi="Calibri"/>
      <w:i w:val="0"/>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Optimizer Executive Summary</dc:title>
  <dc:subject>Executive summary of BBO-PC-001, BBO-SOW-001, and BBO-TDS-001</dc:subject>
  <dc:creator>TheSnekPeople</dc:creator>
  <cp:keywords>Black Box Optimizer, CSCI 3038, executive summary, Pareto optimization</cp:keywords>
  <dc:description>Prepared from Draft v0.1 controlled project documents dated July 17, 2026.</dc:description>
  <cp:lastModifiedBy/>
  <cp:revision>1</cp:revision>
  <dcterms:created xsi:type="dcterms:W3CDTF">2013-12-23T23:15:00Z</dcterms:created>
  <dcterms:modified xsi:type="dcterms:W3CDTF">2013-12-23T23:15:00Z</dcterms:modified>
  <cp:category/>
</cp:coreProperties>
</file>