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2B54" w14:textId="77777777" w:rsidR="007F3E1E" w:rsidRDefault="009416DE">
      <w:pPr>
        <w:pStyle w:val="Title"/>
        <w:keepNext/>
      </w:pPr>
      <w:r>
        <w:t>EXECUTIVE SUMMARY</w:t>
      </w:r>
    </w:p>
    <w:p w14:paraId="4E99EC10" w14:textId="77777777" w:rsidR="007F3E1E" w:rsidRDefault="009416DE">
      <w:pPr>
        <w:pStyle w:val="Subtitle"/>
        <w:keepNext/>
      </w:pPr>
      <w:r>
        <w:t>Black Box Optimizer  |  CSCI 3038 Final Project</w:t>
      </w:r>
    </w:p>
    <w:p w14:paraId="020204A6" w14:textId="77777777" w:rsidR="007F3E1E" w:rsidRDefault="009416DE">
      <w:pPr>
        <w:spacing w:after="40" w:line="240" w:lineRule="auto"/>
      </w:pPr>
      <w:r>
        <w:rPr>
          <w:b/>
          <w:sz w:val="21"/>
        </w:rPr>
        <w:t xml:space="preserve">Prepared: </w:t>
      </w:r>
      <w:r>
        <w:rPr>
          <w:sz w:val="21"/>
        </w:rPr>
        <w:t>July 17, 2026</w:t>
      </w:r>
    </w:p>
    <w:p w14:paraId="2278F7D3" w14:textId="6457EE6B" w:rsidR="007F3E1E" w:rsidRDefault="009416DE">
      <w:pPr>
        <w:spacing w:after="40" w:line="240" w:lineRule="auto"/>
      </w:pPr>
      <w:r>
        <w:rPr>
          <w:b/>
          <w:sz w:val="21"/>
        </w:rPr>
        <w:t xml:space="preserve">Source baseline: </w:t>
      </w:r>
      <w:r>
        <w:rPr>
          <w:sz w:val="21"/>
        </w:rPr>
        <w:t xml:space="preserve">BBO-PC-001, BBO-SOW-001, and BBO-TDS-001 — </w:t>
      </w:r>
      <w:r w:rsidR="009836DA">
        <w:rPr>
          <w:sz w:val="21"/>
        </w:rPr>
        <w:t>Draft v0.2</w:t>
      </w:r>
    </w:p>
    <w:p w14:paraId="15C810E1" w14:textId="77777777" w:rsidR="007F3E1E" w:rsidRDefault="009416DE">
      <w:pPr>
        <w:spacing w:after="40" w:line="240" w:lineRule="auto"/>
      </w:pPr>
      <w:r>
        <w:rPr>
          <w:b/>
          <w:sz w:val="21"/>
        </w:rPr>
        <w:t xml:space="preserve">Current status: </w:t>
      </w:r>
      <w:r>
        <w:rPr>
          <w:sz w:val="21"/>
        </w:rPr>
        <w:t>Pending team ratification and technical approval</w:t>
      </w:r>
    </w:p>
    <w:p w14:paraId="373C4D33" w14:textId="77777777" w:rsidR="007F3E1E" w:rsidRDefault="007F3E1E">
      <w:pPr>
        <w:pBdr>
          <w:bottom w:val="single" w:sz="12" w:space="6" w:color="2E74B5"/>
        </w:pBdr>
        <w:spacing w:before="80"/>
      </w:pPr>
    </w:p>
    <w:p w14:paraId="5E37ECFA" w14:textId="77777777" w:rsidR="009836DA" w:rsidRDefault="009836DA" w:rsidP="009836DA">
      <w:pPr>
        <w:pStyle w:val="Heading2"/>
      </w:pPr>
      <w:r>
        <w:t>Baseline Alignment Changes - Draft v0.2</w:t>
      </w:r>
    </w:p>
    <w:p w14:paraId="4E45E07A" w14:textId="77777777" w:rsidR="009836DA" w:rsidRDefault="009836DA" w:rsidP="009836DA">
      <w:r>
        <w:t>This revision aligns the planning documents with the approved repository foundation. Each clarification below states its reason; all other Draft v0.1 obligations remain in force unless explicitly changed.</w:t>
      </w:r>
    </w:p>
    <w:p w14:paraId="3DEAA5E3" w14:textId="77777777" w:rsidR="009836DA" w:rsidRDefault="009836DA" w:rsidP="009836DA">
      <w:r w:rsidRPr="009836DA">
        <w:rPr>
          <w:b/>
        </w:rPr>
        <w:t>Configuration contract.</w:t>
      </w:r>
      <w:r>
        <w:t xml:space="preserve"> Parameter JSON uses kind, and AlgorithmSpec contains name plus a direct integer seed for the MVP. Reason: these names match the implemented immutable foundation, remove an unnecessary nested settings mapping, and keep the single-algorithm MVP readable.</w:t>
      </w:r>
    </w:p>
    <w:p w14:paraId="535F87C3" w14:textId="77777777" w:rsidR="009836DA" w:rsidRDefault="009836DA" w:rsidP="009836DA">
      <w:r w:rsidRPr="009836DA">
        <w:rPr>
          <w:b/>
        </w:rPr>
        <w:t>Demonstration contract.</w:t>
      </w:r>
      <w:r>
        <w:t xml:space="preserve"> The baseline example is an external Iris classifier under examples/iris_torch that accepts learning_rate, hidden_size, epochs, and batch_size and returns validation_accuracy, validation_loss, and training_time_seconds. PyTorch remains example-worker-only. Reason: this provides a concrete multi-objective demonstration without coupling optimizer code to model internals.</w:t>
      </w:r>
    </w:p>
    <w:p w14:paraId="2C56AEBB" w14:textId="77777777" w:rsidR="009836DA" w:rsidRDefault="009836DA" w:rsidP="009836DA">
      <w:r w:rsidRPr="009836DA">
        <w:rPr>
          <w:b/>
        </w:rPr>
        <w:t>GUI boundary.</w:t>
      </w:r>
      <w:r>
        <w:t xml:space="preserve"> A GUI is permitted only as an optional presentation layer owned by Charles; it cannot own optimizer logic or be required for core acceptance. Reason: this records assigned UI work while preserving a CLI-capable, independently testable optimizer.</w:t>
      </w:r>
    </w:p>
    <w:p w14:paraId="42ABC573" w14:textId="77777777" w:rsidR="009836DA" w:rsidRDefault="009836DA" w:rsidP="009836DA">
      <w:r w:rsidRPr="009836DA">
        <w:rPr>
          <w:b/>
        </w:rPr>
        <w:t>Ownership alignment.</w:t>
      </w:r>
      <w:r>
        <w:t xml:space="preserve"> Mel owns the architectural baseline, internal contracts, optimizer/search, TrialHistory, persistence, Pareto evaluation, verification, and integration. Reporting/export ownership and other work-package assignments remain to be finalized. Reason: confirmed responsibility is recorded without inventing unassigned owners.</w:t>
      </w:r>
    </w:p>
    <w:p w14:paraId="7403D863" w14:textId="77777777" w:rsidR="009836DA" w:rsidRDefault="009836DA" w:rsidP="009836DA">
      <w:r w:rsidRPr="009836DA">
        <w:rPr>
          <w:b/>
        </w:rPr>
        <w:t>Unchanged scope.</w:t>
      </w:r>
      <w:r>
        <w:t xml:space="preserve"> Local sequential execution, one-row CSV metrics, persistence, cancellation and error evidence, seeded RandomSearch, the full Pareto Front, reporting obligations, and the existing verification plan remain in force unless separately ratified. Reason: Draft v0.2 aligns contracts; it does not broadly reduce scope.</w:t>
      </w:r>
    </w:p>
    <w:p w14:paraId="1F6A5F9E" w14:textId="5051FA80" w:rsidR="007F3E1E" w:rsidRDefault="009416DE">
      <w:pPr>
        <w:pStyle w:val="Heading1"/>
      </w:pPr>
      <w:r>
        <w:t>E</w:t>
      </w:r>
      <w:r>
        <w:t>xecutive Overview</w:t>
      </w:r>
    </w:p>
    <w:p w14:paraId="4EE2EBD1" w14:textId="77777777" w:rsidR="007F3E1E" w:rsidRDefault="009416DE">
      <w:r>
        <w:t>The Black Box Optimizer is a proposed reusable Python 3.13.14 command-line application for improving external local programs without importing, inspecting, or coupling to their internal code. It runs controlled candidate configurations one at a time, preserves immutable evidence for every attempt, and returns a Pareto Front across two or more independently minimized or maximized objectives. The result is intentionally a set of defensible trade-offs—not a hidden weighted score or a single universal winner.</w:t>
      </w:r>
    </w:p>
    <w:p w14:paraId="727D8C56" w14:textId="79227F41" w:rsidR="007F3E1E" w:rsidRDefault="009836DA">
      <w:r>
        <w:t>The three governing documents form a coherent baseline. The Project Charter authorizes the purpose, objectives, boundaries, and decision rights; the Scope of Work defines eight work packages, 20 functional requirements, 10 non-functional requirements, and 16 acceptance scenarios; and the Technical Design Specification converts those obligations into concrete interfaces, state transitions, schemas, failure rules, and verification mappings. All three remain Draft v0.2, so the project is technically well specified but not yet formally ratified; confirmed ownership is recorded while remaining assignments stay open.</w:t>
      </w:r>
    </w:p>
    <w:p w14:paraId="557DB028" w14:textId="77777777" w:rsidR="007F3E1E" w:rsidRDefault="009416DE">
      <w:pPr>
        <w:pStyle w:val="Heading1"/>
      </w:pPr>
      <w:r>
        <w:t>Why the Project Matters</w:t>
      </w:r>
    </w:p>
    <w:p w14:paraId="51DBE48B" w14:textId="77777777" w:rsidR="007F3E1E" w:rsidRDefault="009416DE">
      <w:pPr>
        <w:numPr>
          <w:ilvl w:val="0"/>
          <w:numId w:val="1"/>
        </w:numPr>
      </w:pPr>
      <w:r>
        <w:rPr>
          <w:b/>
        </w:rPr>
        <w:t>Worker independence.</w:t>
      </w:r>
      <w:r>
        <w:t xml:space="preserve"> Any compliant local program can be optimized through the approved command-line and metrics-file contract, without source changes or optimizer-side imports.</w:t>
      </w:r>
    </w:p>
    <w:p w14:paraId="7BDB858E" w14:textId="77777777" w:rsidR="007F3E1E" w:rsidRDefault="009416DE">
      <w:pPr>
        <w:numPr>
          <w:ilvl w:val="0"/>
          <w:numId w:val="1"/>
        </w:numPr>
      </w:pPr>
      <w:r>
        <w:rPr>
          <w:b/>
        </w:rPr>
        <w:t>Reproducible, auditable evidence.</w:t>
      </w:r>
      <w:r>
        <w:t xml:space="preserve"> A seeded search proposes candidates deterministically, while every launch, success, crash, timeout, cancellation, or metrics defect becomes traceable trial evidence.</w:t>
      </w:r>
    </w:p>
    <w:p w14:paraId="2F9F895B" w14:textId="77777777" w:rsidR="007F3E1E" w:rsidRDefault="009416DE">
      <w:pPr>
        <w:numPr>
          <w:ilvl w:val="0"/>
          <w:numId w:val="1"/>
        </w:numPr>
      </w:pPr>
      <w:r>
        <w:rPr>
          <w:b/>
        </w:rPr>
        <w:t>Transparent multi-objective decisions.</w:t>
      </w:r>
      <w:r>
        <w:t xml:space="preserve"> Mixed minimize/maximize goals are evaluated through formal Pareto dominance, preserving all non-dominated trade-offs for human interpretation.</w:t>
      </w:r>
    </w:p>
    <w:p w14:paraId="166529C6" w14:textId="77777777" w:rsidR="007F3E1E" w:rsidRDefault="009416DE">
      <w:pPr>
        <w:numPr>
          <w:ilvl w:val="0"/>
          <w:numId w:val="1"/>
        </w:numPr>
      </w:pPr>
      <w:r>
        <w:rPr>
          <w:b/>
        </w:rPr>
        <w:t>Modular implementation.</w:t>
      </w:r>
      <w:r>
        <w:t xml:space="preserve"> Search, execution, stopping, evidence, Pareto evaluation, and reporting are separated by explicit contracts, enabling parallel team work and later extension without expanding the MVP.</w:t>
      </w:r>
    </w:p>
    <w:p w14:paraId="42004FDF" w14:textId="77777777" w:rsidR="007F3E1E" w:rsidRDefault="009416DE">
      <w:pPr>
        <w:pStyle w:val="Heading1"/>
      </w:pPr>
      <w:r>
        <w:t>Operating Model and Technical Baseline</w:t>
      </w:r>
    </w:p>
    <w:tbl>
      <w:tblPr>
        <w:tblW w:w="9360" w:type="dxa"/>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Layout w:type="fixed"/>
        <w:tblLook w:val="04A0" w:firstRow="1" w:lastRow="0" w:firstColumn="1" w:lastColumn="0" w:noHBand="0" w:noVBand="1"/>
      </w:tblPr>
      <w:tblGrid>
        <w:gridCol w:w="1900"/>
        <w:gridCol w:w="7460"/>
      </w:tblGrid>
      <w:tr w:rsidR="007F3E1E" w14:paraId="0FF3C0A8" w14:textId="77777777">
        <w:trPr>
          <w:cantSplit/>
          <w:tblHeader/>
        </w:trPr>
        <w:tc>
          <w:tcPr>
            <w:tcW w:w="1900" w:type="dxa"/>
            <w:shd w:val="clear" w:color="auto" w:fill="F2F4F7"/>
            <w:tcMar>
              <w:top w:w="80" w:type="dxa"/>
              <w:left w:w="120" w:type="dxa"/>
              <w:bottom w:w="80" w:type="dxa"/>
              <w:right w:w="120" w:type="dxa"/>
            </w:tcMar>
            <w:vAlign w:val="center"/>
          </w:tcPr>
          <w:p w14:paraId="2104E7AB" w14:textId="77777777" w:rsidR="007F3E1E" w:rsidRDefault="009416DE">
            <w:pPr>
              <w:spacing w:after="0" w:line="240" w:lineRule="auto"/>
            </w:pPr>
            <w:r>
              <w:rPr>
                <w:b/>
                <w:sz w:val="19"/>
              </w:rPr>
              <w:t>Layer</w:t>
            </w:r>
          </w:p>
        </w:tc>
        <w:tc>
          <w:tcPr>
            <w:tcW w:w="7460" w:type="dxa"/>
            <w:shd w:val="clear" w:color="auto" w:fill="F2F4F7"/>
            <w:tcMar>
              <w:top w:w="80" w:type="dxa"/>
              <w:left w:w="120" w:type="dxa"/>
              <w:bottom w:w="80" w:type="dxa"/>
              <w:right w:w="120" w:type="dxa"/>
            </w:tcMar>
            <w:vAlign w:val="center"/>
          </w:tcPr>
          <w:p w14:paraId="543853CD" w14:textId="77777777" w:rsidR="007F3E1E" w:rsidRDefault="009416DE">
            <w:pPr>
              <w:spacing w:after="0" w:line="240" w:lineRule="auto"/>
            </w:pPr>
            <w:r>
              <w:rPr>
                <w:b/>
                <w:sz w:val="19"/>
              </w:rPr>
              <w:t>Baseline design</w:t>
            </w:r>
          </w:p>
        </w:tc>
      </w:tr>
      <w:tr w:rsidR="007F3E1E" w14:paraId="4EDD0E08" w14:textId="77777777">
        <w:trPr>
          <w:cantSplit/>
        </w:trPr>
        <w:tc>
          <w:tcPr>
            <w:tcW w:w="1900" w:type="dxa"/>
            <w:tcMar>
              <w:top w:w="80" w:type="dxa"/>
              <w:left w:w="120" w:type="dxa"/>
              <w:bottom w:w="80" w:type="dxa"/>
              <w:right w:w="120" w:type="dxa"/>
            </w:tcMar>
          </w:tcPr>
          <w:p w14:paraId="1532B710" w14:textId="77777777" w:rsidR="007F3E1E" w:rsidRDefault="009416DE">
            <w:pPr>
              <w:spacing w:after="0" w:line="252" w:lineRule="auto"/>
            </w:pPr>
            <w:r>
              <w:rPr>
                <w:sz w:val="19"/>
              </w:rPr>
              <w:lastRenderedPageBreak/>
              <w:t>Configuration</w:t>
            </w:r>
          </w:p>
        </w:tc>
        <w:tc>
          <w:tcPr>
            <w:tcW w:w="7460" w:type="dxa"/>
            <w:tcMar>
              <w:top w:w="80" w:type="dxa"/>
              <w:left w:w="120" w:type="dxa"/>
              <w:bottom w:w="80" w:type="dxa"/>
              <w:right w:w="120" w:type="dxa"/>
            </w:tcMar>
          </w:tcPr>
          <w:p w14:paraId="55A5A5F8" w14:textId="77777777" w:rsidR="007F3E1E" w:rsidRDefault="009416DE">
            <w:pPr>
              <w:spacing w:after="0" w:line="252" w:lineRule="auto"/>
            </w:pPr>
            <w:r>
              <w:rPr>
                <w:sz w:val="19"/>
              </w:rPr>
              <w:t>One JSON file is validated before trial 1 and converted into immutable WorkerSpec, OptimizationContract, AlgorithmSpec, and StopPolicy objects.</w:t>
            </w:r>
          </w:p>
        </w:tc>
      </w:tr>
      <w:tr w:rsidR="007F3E1E" w14:paraId="65B2B031" w14:textId="77777777">
        <w:trPr>
          <w:cantSplit/>
        </w:trPr>
        <w:tc>
          <w:tcPr>
            <w:tcW w:w="1900" w:type="dxa"/>
            <w:tcMar>
              <w:top w:w="80" w:type="dxa"/>
              <w:left w:w="120" w:type="dxa"/>
              <w:bottom w:w="80" w:type="dxa"/>
              <w:right w:w="120" w:type="dxa"/>
            </w:tcMar>
          </w:tcPr>
          <w:p w14:paraId="11703B2D" w14:textId="77777777" w:rsidR="007F3E1E" w:rsidRDefault="009416DE">
            <w:pPr>
              <w:spacing w:after="0" w:line="252" w:lineRule="auto"/>
            </w:pPr>
            <w:r>
              <w:rPr>
                <w:sz w:val="19"/>
              </w:rPr>
              <w:t>Search</w:t>
            </w:r>
          </w:p>
        </w:tc>
        <w:tc>
          <w:tcPr>
            <w:tcW w:w="7460" w:type="dxa"/>
            <w:tcMar>
              <w:top w:w="80" w:type="dxa"/>
              <w:left w:w="120" w:type="dxa"/>
              <w:bottom w:w="80" w:type="dxa"/>
              <w:right w:w="120" w:type="dxa"/>
            </w:tcMar>
          </w:tcPr>
          <w:p w14:paraId="199AE0E7" w14:textId="77777777" w:rsidR="007F3E1E" w:rsidRDefault="009416DE">
            <w:pPr>
              <w:spacing w:after="0" w:line="252" w:lineRule="auto"/>
            </w:pPr>
            <w:r>
              <w:rPr>
                <w:sz w:val="19"/>
              </w:rPr>
              <w:t>A built-in registry creates seeded RandomSearch, which proposes legal, previously untried candidates or returns an explicit exhaustion/failure status.</w:t>
            </w:r>
          </w:p>
        </w:tc>
      </w:tr>
      <w:tr w:rsidR="007F3E1E" w14:paraId="2ABB9755" w14:textId="77777777">
        <w:trPr>
          <w:cantSplit/>
        </w:trPr>
        <w:tc>
          <w:tcPr>
            <w:tcW w:w="1900" w:type="dxa"/>
            <w:tcMar>
              <w:top w:w="80" w:type="dxa"/>
              <w:left w:w="120" w:type="dxa"/>
              <w:bottom w:w="80" w:type="dxa"/>
              <w:right w:w="120" w:type="dxa"/>
            </w:tcMar>
          </w:tcPr>
          <w:p w14:paraId="131E436F" w14:textId="77777777" w:rsidR="007F3E1E" w:rsidRDefault="009416DE">
            <w:pPr>
              <w:spacing w:after="0" w:line="252" w:lineRule="auto"/>
            </w:pPr>
            <w:r>
              <w:rPr>
                <w:sz w:val="19"/>
              </w:rPr>
              <w:t>Control &amp; execution</w:t>
            </w:r>
          </w:p>
        </w:tc>
        <w:tc>
          <w:tcPr>
            <w:tcW w:w="7460" w:type="dxa"/>
            <w:tcMar>
              <w:top w:w="80" w:type="dxa"/>
              <w:left w:w="120" w:type="dxa"/>
              <w:bottom w:w="80" w:type="dxa"/>
              <w:right w:w="120" w:type="dxa"/>
            </w:tcMar>
          </w:tcPr>
          <w:p w14:paraId="0B0DC7ED" w14:textId="77777777" w:rsidR="007F3E1E" w:rsidRDefault="009416DE">
            <w:pPr>
              <w:spacing w:after="0" w:line="252" w:lineRule="auto"/>
            </w:pPr>
            <w:r>
              <w:rPr>
                <w:sz w:val="19"/>
              </w:rPr>
              <w:t>A finite-state controller gates every launch. Runner uses a string argument list, shell=False, a per-trial timeout, and exactly one synchronous local worker process.</w:t>
            </w:r>
          </w:p>
        </w:tc>
      </w:tr>
      <w:tr w:rsidR="007F3E1E" w14:paraId="3E9568CA" w14:textId="77777777">
        <w:trPr>
          <w:cantSplit/>
        </w:trPr>
        <w:tc>
          <w:tcPr>
            <w:tcW w:w="1900" w:type="dxa"/>
            <w:tcMar>
              <w:top w:w="80" w:type="dxa"/>
              <w:left w:w="120" w:type="dxa"/>
              <w:bottom w:w="80" w:type="dxa"/>
              <w:right w:w="120" w:type="dxa"/>
            </w:tcMar>
          </w:tcPr>
          <w:p w14:paraId="79A94F3F" w14:textId="77777777" w:rsidR="007F3E1E" w:rsidRDefault="009416DE">
            <w:pPr>
              <w:spacing w:after="0" w:line="252" w:lineRule="auto"/>
            </w:pPr>
            <w:r>
              <w:rPr>
                <w:sz w:val="19"/>
              </w:rPr>
              <w:t>Evidence</w:t>
            </w:r>
          </w:p>
        </w:tc>
        <w:tc>
          <w:tcPr>
            <w:tcW w:w="7460" w:type="dxa"/>
            <w:tcMar>
              <w:top w:w="80" w:type="dxa"/>
              <w:left w:w="120" w:type="dxa"/>
              <w:bottom w:w="80" w:type="dxa"/>
              <w:right w:w="120" w:type="dxa"/>
            </w:tcMar>
          </w:tcPr>
          <w:p w14:paraId="6F522D01" w14:textId="77777777" w:rsidR="007F3E1E" w:rsidRDefault="009416DE">
            <w:pPr>
              <w:spacing w:after="0" w:line="252" w:lineRule="auto"/>
            </w:pPr>
            <w:r>
              <w:rPr>
                <w:sz w:val="19"/>
              </w:rPr>
              <w:t>Each attempt receives a unique directory and exactly one immutable TrialRecord. TrialHistory is append-only and checkpointed after every record.</w:t>
            </w:r>
          </w:p>
        </w:tc>
      </w:tr>
      <w:tr w:rsidR="007F3E1E" w14:paraId="4EEC2DAE" w14:textId="77777777">
        <w:trPr>
          <w:cantSplit/>
        </w:trPr>
        <w:tc>
          <w:tcPr>
            <w:tcW w:w="1900" w:type="dxa"/>
            <w:tcMar>
              <w:top w:w="80" w:type="dxa"/>
              <w:left w:w="120" w:type="dxa"/>
              <w:bottom w:w="80" w:type="dxa"/>
              <w:right w:w="120" w:type="dxa"/>
            </w:tcMar>
          </w:tcPr>
          <w:p w14:paraId="04E1D6BE" w14:textId="77777777" w:rsidR="007F3E1E" w:rsidRDefault="009416DE">
            <w:pPr>
              <w:spacing w:after="0" w:line="252" w:lineRule="auto"/>
            </w:pPr>
            <w:r>
              <w:rPr>
                <w:sz w:val="19"/>
              </w:rPr>
              <w:t>Evaluation</w:t>
            </w:r>
          </w:p>
        </w:tc>
        <w:tc>
          <w:tcPr>
            <w:tcW w:w="7460" w:type="dxa"/>
            <w:tcMar>
              <w:top w:w="80" w:type="dxa"/>
              <w:left w:w="120" w:type="dxa"/>
              <w:bottom w:w="80" w:type="dxa"/>
              <w:right w:w="120" w:type="dxa"/>
            </w:tcMar>
          </w:tcPr>
          <w:p w14:paraId="66F7E3D4" w14:textId="77777777" w:rsidR="007F3E1E" w:rsidRDefault="009416DE">
            <w:pPr>
              <w:spacing w:after="0" w:line="252" w:lineRule="auto"/>
            </w:pPr>
            <w:r>
              <w:rPr>
                <w:sz w:val="19"/>
              </w:rPr>
              <w:t>Only execution-successful records with valid, finite values for every declared objective are eligible. Every and only non-dominated eligible record enters the Pareto Front.</w:t>
            </w:r>
          </w:p>
        </w:tc>
      </w:tr>
      <w:tr w:rsidR="007F3E1E" w14:paraId="3229615C" w14:textId="77777777">
        <w:trPr>
          <w:cantSplit/>
        </w:trPr>
        <w:tc>
          <w:tcPr>
            <w:tcW w:w="1900" w:type="dxa"/>
            <w:tcMar>
              <w:top w:w="80" w:type="dxa"/>
              <w:left w:w="120" w:type="dxa"/>
              <w:bottom w:w="80" w:type="dxa"/>
              <w:right w:w="120" w:type="dxa"/>
            </w:tcMar>
          </w:tcPr>
          <w:p w14:paraId="55A15B1B" w14:textId="77777777" w:rsidR="007F3E1E" w:rsidRDefault="009416DE">
            <w:pPr>
              <w:spacing w:after="0" w:line="252" w:lineRule="auto"/>
            </w:pPr>
            <w:r>
              <w:rPr>
                <w:sz w:val="19"/>
              </w:rPr>
              <w:t>Reporting</w:t>
            </w:r>
          </w:p>
        </w:tc>
        <w:tc>
          <w:tcPr>
            <w:tcW w:w="7460" w:type="dxa"/>
            <w:tcMar>
              <w:top w:w="80" w:type="dxa"/>
              <w:left w:w="120" w:type="dxa"/>
              <w:bottom w:w="80" w:type="dxa"/>
              <w:right w:w="120" w:type="dxa"/>
            </w:tcMar>
          </w:tcPr>
          <w:p w14:paraId="2A30EE0E" w14:textId="77777777" w:rsidR="007F3E1E" w:rsidRDefault="009416DE">
            <w:pPr>
              <w:spacing w:after="0" w:line="252" w:lineRule="auto"/>
            </w:pPr>
            <w:r>
              <w:rPr>
                <w:sz w:val="19"/>
              </w:rPr>
              <w:t>Authoritative exports are history.csv and pareto_front.csv, supported by resolved configuration, a summary, trial-local diagnostics, and an explanatory plot.</w:t>
            </w:r>
          </w:p>
        </w:tc>
      </w:tr>
    </w:tbl>
    <w:p w14:paraId="7888CAD4" w14:textId="77777777" w:rsidR="007F3E1E" w:rsidRDefault="007F3E1E">
      <w:pPr>
        <w:spacing w:after="40"/>
      </w:pPr>
    </w:p>
    <w:p w14:paraId="32DA2100" w14:textId="77777777" w:rsidR="007F3E1E" w:rsidRDefault="009416DE">
      <w:pPr>
        <w:pStyle w:val="Heading2"/>
      </w:pPr>
      <w:r>
        <w:t>End-to-End Lifecycle</w:t>
      </w:r>
    </w:p>
    <w:p w14:paraId="7530CBBF" w14:textId="77777777" w:rsidR="007F3E1E" w:rsidRDefault="009416DE">
      <w:pPr>
        <w:numPr>
          <w:ilvl w:val="0"/>
          <w:numId w:val="1"/>
        </w:numPr>
      </w:pPr>
      <w:r>
        <w:rPr>
          <w:b/>
        </w:rPr>
        <w:t>Initialize and validate.</w:t>
      </w:r>
      <w:r>
        <w:t xml:space="preserve"> Load the JSON configuration, reject all detectable contract errors before trial 1, create the run directory, and write the resolved configuration.</w:t>
      </w:r>
    </w:p>
    <w:p w14:paraId="6C055AEA" w14:textId="77777777" w:rsidR="007F3E1E" w:rsidRDefault="009416DE">
      <w:pPr>
        <w:numPr>
          <w:ilvl w:val="0"/>
          <w:numId w:val="1"/>
        </w:numPr>
      </w:pPr>
      <w:r>
        <w:rPr>
          <w:b/>
        </w:rPr>
        <w:t>Propose and gate.</w:t>
      </w:r>
      <w:r>
        <w:t xml:space="preserve"> Request a candidate from the registered algorithm, then evaluate StopPolicy before permission to launch.</w:t>
      </w:r>
    </w:p>
    <w:p w14:paraId="247DBF04" w14:textId="77777777" w:rsidR="007F3E1E" w:rsidRDefault="009416DE">
      <w:pPr>
        <w:numPr>
          <w:ilvl w:val="0"/>
          <w:numId w:val="1"/>
        </w:numPr>
      </w:pPr>
      <w:r>
        <w:rPr>
          <w:b/>
        </w:rPr>
        <w:t>Execute and observe.</w:t>
      </w:r>
      <w:r>
        <w:t xml:space="preserve"> Create a unique trial directory, invoke one worker synchronously, and capture exit, timeout, cancellation, runtime, and diagnostic facts.</w:t>
      </w:r>
    </w:p>
    <w:p w14:paraId="0715C79C" w14:textId="77777777" w:rsidR="007F3E1E" w:rsidRDefault="009416DE">
      <w:pPr>
        <w:numPr>
          <w:ilvl w:val="0"/>
          <w:numId w:val="1"/>
        </w:numPr>
      </w:pPr>
      <w:r>
        <w:rPr>
          <w:b/>
        </w:rPr>
        <w:t>Record and persist.</w:t>
      </w:r>
      <w:r>
        <w:t xml:space="preserve"> Parse the one-row CSV, build exactly one immutable TrialRecord, append it in order, and atomically checkpoint the complete history.</w:t>
      </w:r>
    </w:p>
    <w:p w14:paraId="69976643" w14:textId="77777777" w:rsidR="007F3E1E" w:rsidRDefault="009416DE">
      <w:pPr>
        <w:numPr>
          <w:ilvl w:val="0"/>
          <w:numId w:val="1"/>
        </w:numPr>
      </w:pPr>
      <w:r>
        <w:rPr>
          <w:b/>
        </w:rPr>
        <w:t>Evaluate and stop.</w:t>
      </w:r>
      <w:r>
        <w:t xml:space="preserve"> Continue after recoverable worker or metrics failures when policy permits; stop on maximum trials, search exhaustion, cancellation, or fatal error.</w:t>
      </w:r>
    </w:p>
    <w:p w14:paraId="703B1A30" w14:textId="77777777" w:rsidR="007F3E1E" w:rsidRDefault="009416DE">
      <w:pPr>
        <w:numPr>
          <w:ilvl w:val="0"/>
          <w:numId w:val="1"/>
        </w:numPr>
      </w:pPr>
      <w:r>
        <w:rPr>
          <w:b/>
        </w:rPr>
        <w:t>Finalize.</w:t>
      </w:r>
      <w:r>
        <w:t xml:space="preserve"> Derive the Pareto Front, assign a result status, export the required evidence, and report the termination reason.</w:t>
      </w:r>
    </w:p>
    <w:p w14:paraId="26689B53" w14:textId="77777777" w:rsidR="007F3E1E" w:rsidRDefault="009416DE">
      <w:pPr>
        <w:pStyle w:val="Heading1"/>
      </w:pPr>
      <w:r>
        <w:t>Authorized MVP Scope and Deliverables</w:t>
      </w:r>
    </w:p>
    <w:p w14:paraId="161B8A9C" w14:textId="06D88538" w:rsidR="007F3E1E" w:rsidRDefault="009836DA">
      <w:r>
        <w:t>The MVP is deliberately bounded: local, synchronous, sequential execution; integer, float, and categorical parameters; two or more objectives; seeded RandomSearch through a registry; explicit StopPolicy; immutable TrialRecords and append-only persistence; mixed-direction Pareto evaluation; reporting; an external Iris/PyTorch demonstration worker; tests; and repository guidance. The demonstration tunes learning_rate, hidden_size, epochs, and batch_size while maximizing validation_accuracy and minimizing validation_loss and training_time_seconds.</w:t>
      </w:r>
    </w:p>
    <w:tbl>
      <w:tblPr>
        <w:tblW w:w="9360" w:type="dxa"/>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Layout w:type="fixed"/>
        <w:tblLook w:val="04A0" w:firstRow="1" w:lastRow="0" w:firstColumn="1" w:lastColumn="0" w:noHBand="0" w:noVBand="1"/>
      </w:tblPr>
      <w:tblGrid>
        <w:gridCol w:w="2800"/>
        <w:gridCol w:w="6560"/>
      </w:tblGrid>
      <w:tr w:rsidR="007F3E1E" w14:paraId="5C5B81A1" w14:textId="77777777">
        <w:trPr>
          <w:cantSplit/>
          <w:tblHeader/>
        </w:trPr>
        <w:tc>
          <w:tcPr>
            <w:tcW w:w="2800" w:type="dxa"/>
            <w:shd w:val="clear" w:color="auto" w:fill="F2F4F7"/>
            <w:tcMar>
              <w:top w:w="80" w:type="dxa"/>
              <w:left w:w="120" w:type="dxa"/>
              <w:bottom w:w="80" w:type="dxa"/>
              <w:right w:w="120" w:type="dxa"/>
            </w:tcMar>
            <w:vAlign w:val="center"/>
          </w:tcPr>
          <w:p w14:paraId="39A132C7" w14:textId="77777777" w:rsidR="007F3E1E" w:rsidRDefault="009416DE">
            <w:pPr>
              <w:spacing w:after="0" w:line="240" w:lineRule="auto"/>
            </w:pPr>
            <w:r>
              <w:rPr>
                <w:b/>
                <w:sz w:val="19"/>
              </w:rPr>
              <w:lastRenderedPageBreak/>
              <w:t>Work stream</w:t>
            </w:r>
          </w:p>
        </w:tc>
        <w:tc>
          <w:tcPr>
            <w:tcW w:w="6560" w:type="dxa"/>
            <w:shd w:val="clear" w:color="auto" w:fill="F2F4F7"/>
            <w:tcMar>
              <w:top w:w="80" w:type="dxa"/>
              <w:left w:w="120" w:type="dxa"/>
              <w:bottom w:w="80" w:type="dxa"/>
              <w:right w:w="120" w:type="dxa"/>
            </w:tcMar>
            <w:vAlign w:val="center"/>
          </w:tcPr>
          <w:p w14:paraId="7825C74B" w14:textId="77777777" w:rsidR="007F3E1E" w:rsidRDefault="009416DE">
            <w:pPr>
              <w:spacing w:after="0" w:line="240" w:lineRule="auto"/>
            </w:pPr>
            <w:r>
              <w:rPr>
                <w:b/>
                <w:sz w:val="19"/>
              </w:rPr>
              <w:t>Scope of delivery</w:t>
            </w:r>
          </w:p>
        </w:tc>
      </w:tr>
      <w:tr w:rsidR="007F3E1E" w14:paraId="55393B65" w14:textId="77777777">
        <w:trPr>
          <w:cantSplit/>
        </w:trPr>
        <w:tc>
          <w:tcPr>
            <w:tcW w:w="2800" w:type="dxa"/>
            <w:tcMar>
              <w:top w:w="80" w:type="dxa"/>
              <w:left w:w="120" w:type="dxa"/>
              <w:bottom w:w="80" w:type="dxa"/>
              <w:right w:w="120" w:type="dxa"/>
            </w:tcMar>
          </w:tcPr>
          <w:p w14:paraId="3D88E138" w14:textId="77777777" w:rsidR="007F3E1E" w:rsidRDefault="009416DE">
            <w:pPr>
              <w:spacing w:after="0" w:line="252" w:lineRule="auto"/>
            </w:pPr>
            <w:r>
              <w:rPr>
                <w:sz w:val="19"/>
              </w:rPr>
              <w:t>Governance &amp; contracts (WP-01–02)</w:t>
            </w:r>
          </w:p>
        </w:tc>
        <w:tc>
          <w:tcPr>
            <w:tcW w:w="6560" w:type="dxa"/>
            <w:tcMar>
              <w:top w:w="80" w:type="dxa"/>
              <w:left w:w="120" w:type="dxa"/>
              <w:bottom w:w="80" w:type="dxa"/>
              <w:right w:w="120" w:type="dxa"/>
            </w:tcMar>
          </w:tcPr>
          <w:p w14:paraId="4734F21E" w14:textId="77777777" w:rsidR="007F3E1E" w:rsidRDefault="009416DE">
            <w:pPr>
              <w:spacing w:after="0" w:line="252" w:lineRule="auto"/>
            </w:pPr>
            <w:r>
              <w:rPr>
                <w:sz w:val="19"/>
              </w:rPr>
              <w:t>Controlled documents, change record, validated immutable domain models, configuration loader, fixtures, and unit tests.</w:t>
            </w:r>
          </w:p>
        </w:tc>
      </w:tr>
      <w:tr w:rsidR="007F3E1E" w14:paraId="56FF7D6B" w14:textId="77777777">
        <w:trPr>
          <w:cantSplit/>
        </w:trPr>
        <w:tc>
          <w:tcPr>
            <w:tcW w:w="2800" w:type="dxa"/>
            <w:tcMar>
              <w:top w:w="80" w:type="dxa"/>
              <w:left w:w="120" w:type="dxa"/>
              <w:bottom w:w="80" w:type="dxa"/>
              <w:right w:w="120" w:type="dxa"/>
            </w:tcMar>
          </w:tcPr>
          <w:p w14:paraId="0FA86B02" w14:textId="77777777" w:rsidR="007F3E1E" w:rsidRDefault="009416DE">
            <w:pPr>
              <w:spacing w:after="0" w:line="252" w:lineRule="auto"/>
            </w:pPr>
            <w:r>
              <w:rPr>
                <w:sz w:val="19"/>
              </w:rPr>
              <w:t>Execution &amp; evidence (WP-03–04)</w:t>
            </w:r>
          </w:p>
        </w:tc>
        <w:tc>
          <w:tcPr>
            <w:tcW w:w="6560" w:type="dxa"/>
            <w:tcMar>
              <w:top w:w="80" w:type="dxa"/>
              <w:left w:w="120" w:type="dxa"/>
              <w:bottom w:w="80" w:type="dxa"/>
              <w:right w:w="120" w:type="dxa"/>
            </w:tcMar>
          </w:tcPr>
          <w:p w14:paraId="4B1DF2FC" w14:textId="77777777" w:rsidR="007F3E1E" w:rsidRDefault="009416DE">
            <w:pPr>
              <w:spacing w:after="0" w:line="252" w:lineRule="auto"/>
            </w:pPr>
            <w:r>
              <w:rPr>
                <w:sz w:val="19"/>
              </w:rPr>
              <w:t>Controller, StopPolicy, Runner, metrics parsing, TrialRecord factory, TrialHistory, unique trial directories, and atomic history checkpoints.</w:t>
            </w:r>
          </w:p>
        </w:tc>
      </w:tr>
      <w:tr w:rsidR="007F3E1E" w14:paraId="2EE38D91" w14:textId="77777777">
        <w:trPr>
          <w:cantSplit/>
        </w:trPr>
        <w:tc>
          <w:tcPr>
            <w:tcW w:w="2800" w:type="dxa"/>
            <w:tcMar>
              <w:top w:w="80" w:type="dxa"/>
              <w:left w:w="120" w:type="dxa"/>
              <w:bottom w:w="80" w:type="dxa"/>
              <w:right w:w="120" w:type="dxa"/>
            </w:tcMar>
          </w:tcPr>
          <w:p w14:paraId="227B63D7" w14:textId="77777777" w:rsidR="007F3E1E" w:rsidRDefault="009416DE">
            <w:pPr>
              <w:spacing w:after="0" w:line="252" w:lineRule="auto"/>
            </w:pPr>
            <w:r>
              <w:rPr>
                <w:sz w:val="19"/>
              </w:rPr>
              <w:t>Search &amp; evaluation (WP-05–06)</w:t>
            </w:r>
          </w:p>
        </w:tc>
        <w:tc>
          <w:tcPr>
            <w:tcW w:w="6560" w:type="dxa"/>
            <w:tcMar>
              <w:top w:w="80" w:type="dxa"/>
              <w:left w:w="120" w:type="dxa"/>
              <w:bottom w:w="80" w:type="dxa"/>
              <w:right w:w="120" w:type="dxa"/>
            </w:tcMar>
          </w:tcPr>
          <w:p w14:paraId="72B1ED25" w14:textId="77777777" w:rsidR="007F3E1E" w:rsidRDefault="009416DE">
            <w:pPr>
              <w:spacing w:after="0" w:line="252" w:lineRule="auto"/>
            </w:pPr>
            <w:r>
              <w:rPr>
                <w:sz w:val="19"/>
              </w:rPr>
              <w:t>Algorithm registry, seeded duplicate-aware RandomSearch, explicit finite-space exhaustion, Pareto evaluator, Optimization Result, and known fixtures.</w:t>
            </w:r>
          </w:p>
        </w:tc>
      </w:tr>
      <w:tr w:rsidR="007F3E1E" w14:paraId="7FB54642" w14:textId="77777777">
        <w:trPr>
          <w:cantSplit/>
        </w:trPr>
        <w:tc>
          <w:tcPr>
            <w:tcW w:w="2800" w:type="dxa"/>
            <w:tcMar>
              <w:top w:w="80" w:type="dxa"/>
              <w:left w:w="120" w:type="dxa"/>
              <w:bottom w:w="80" w:type="dxa"/>
              <w:right w:w="120" w:type="dxa"/>
            </w:tcMar>
          </w:tcPr>
          <w:p w14:paraId="6ABAC785" w14:textId="77777777" w:rsidR="007F3E1E" w:rsidRDefault="009416DE">
            <w:pPr>
              <w:spacing w:after="0" w:line="252" w:lineRule="auto"/>
            </w:pPr>
            <w:r>
              <w:rPr>
                <w:sz w:val="19"/>
              </w:rPr>
              <w:t>Demo, reporting &amp; handoff (WP-07–08)</w:t>
            </w:r>
          </w:p>
        </w:tc>
        <w:tc>
          <w:tcPr>
            <w:tcW w:w="6560" w:type="dxa"/>
            <w:tcMar>
              <w:top w:w="80" w:type="dxa"/>
              <w:left w:w="120" w:type="dxa"/>
              <w:bottom w:w="80" w:type="dxa"/>
              <w:right w:w="120" w:type="dxa"/>
            </w:tcMar>
          </w:tcPr>
          <w:p w14:paraId="1A851CF9" w14:textId="77777777" w:rsidR="007F3E1E" w:rsidRDefault="009416DE">
            <w:pPr>
              <w:spacing w:after="0" w:line="252" w:lineRule="auto"/>
            </w:pPr>
            <w:r>
              <w:rPr>
                <w:sz w:val="19"/>
              </w:rPr>
              <w:t>External demo worker, required exports and visualization, verification suite, README, clean-checkout demonstration, and final handoff checklist.</w:t>
            </w:r>
          </w:p>
        </w:tc>
      </w:tr>
    </w:tbl>
    <w:p w14:paraId="68554EF4" w14:textId="77777777" w:rsidR="007F3E1E" w:rsidRDefault="007F3E1E">
      <w:pPr>
        <w:spacing w:after="40"/>
      </w:pPr>
    </w:p>
    <w:p w14:paraId="2BC2E5F2" w14:textId="29F7A616" w:rsidR="007F3E1E" w:rsidRDefault="009836DA">
      <w:r>
        <w:t>Explicitly excluded are networking, remote or distributed execution, concurrency, resume/restart state, additional search algorithms, arbitrary plugin discovery, weighted winner selection, worker-source inspection, GUI ownership inside optimizer logic or a GUI dependency for core acceptance, databases, hosted services, authentication, and production monitoring. These exclusions protect the vertical slice and keep the course project verifiable.</w:t>
      </w:r>
    </w:p>
    <w:p w14:paraId="6EFC3FB1" w14:textId="77777777" w:rsidR="007F3E1E" w:rsidRDefault="009416DE">
      <w:pPr>
        <w:pStyle w:val="Heading1"/>
      </w:pPr>
      <w:r>
        <w:t>Acceptance and Quality Gates</w:t>
      </w:r>
    </w:p>
    <w:p w14:paraId="5E244DC7" w14:textId="77777777" w:rsidR="007F3E1E" w:rsidRDefault="009416DE">
      <w:r>
        <w:t>Acceptance is evidence-based. The baseline requires unit, contract, component, integration, and end-to-end tests that trace to the Scope of Work. The most consequential gates are:</w:t>
      </w:r>
    </w:p>
    <w:p w14:paraId="31C8BB76" w14:textId="77777777" w:rsidR="007F3E1E" w:rsidRDefault="009416DE">
      <w:pPr>
        <w:numPr>
          <w:ilvl w:val="0"/>
          <w:numId w:val="1"/>
        </w:numPr>
      </w:pPr>
      <w:r>
        <w:t>A valid configuration completes end to end and produces the resolved configuration, full history, Pareto export, summary, termination reason, and visualization.</w:t>
      </w:r>
    </w:p>
    <w:p w14:paraId="7CCC747B" w14:textId="1E434E14" w:rsidR="007F3E1E" w:rsidRDefault="009836DA">
      <w:pPr>
        <w:numPr>
          <w:ilvl w:val="0"/>
          <w:numId w:val="1"/>
        </w:numPr>
      </w:pPr>
      <w:r>
        <w:t>The same contract, algorithm name, seed</w:t>
      </w:r>
      <w:r w:rsidR="009416DE">
        <w:t>, and ordered history reproduce the same next proposal; finite spaces exhaust without duplicate looping.</w:t>
      </w:r>
    </w:p>
    <w:p w14:paraId="4A9D91FD" w14:textId="77777777" w:rsidR="007F3E1E" w:rsidRDefault="009416DE">
      <w:pPr>
        <w:numPr>
          <w:ilvl w:val="0"/>
          <w:numId w:val="1"/>
        </w:numPr>
      </w:pPr>
      <w:r>
        <w:t>Every attempted execution creates one record, including launch failure, nonzero exit, timeout, cancellation, or malformed/missing metrics; recoverable failures do not end the run prematurely.</w:t>
      </w:r>
    </w:p>
    <w:p w14:paraId="19F661C4" w14:textId="77777777" w:rsidR="007F3E1E" w:rsidRDefault="009416DE">
      <w:pPr>
        <w:numPr>
          <w:ilvl w:val="0"/>
          <w:numId w:val="1"/>
        </w:numPr>
      </w:pPr>
      <w:r>
        <w:t>A hand-calculated mixed-direction fixture returns the exact expected non-dominated trial identifiers, including valid trade-offs and equal objective vectors.</w:t>
      </w:r>
    </w:p>
    <w:p w14:paraId="1C11614A" w14:textId="77777777" w:rsidR="007F3E1E" w:rsidRDefault="009416DE">
      <w:pPr>
        <w:numPr>
          <w:ilvl w:val="0"/>
          <w:numId w:val="1"/>
        </w:numPr>
      </w:pPr>
      <w:r>
        <w:t>A reviewer can reproduce the demonstration from a clean checkout in the supported Python environment, with no networking, concurrency, or resume path present.</w:t>
      </w:r>
    </w:p>
    <w:p w14:paraId="61CE197D" w14:textId="77777777" w:rsidR="007F3E1E" w:rsidRDefault="009416DE">
      <w:pPr>
        <w:pStyle w:val="Heading1"/>
      </w:pPr>
      <w:r>
        <w:t>Governance, Risks, and Open Decisions</w:t>
      </w:r>
    </w:p>
    <w:p w14:paraId="3AB4C6CC" w14:textId="77777777" w:rsidR="007F3E1E" w:rsidRDefault="009416DE">
      <w:r>
        <w:t>Material changes—such as altering the JSON/CLI/CSV contracts, adding another algorithm or execution mode, changing eligibility or Pareto semantics, or introducing networking, concurrency, resume, a database, or a GUI—require recorded impact analysis and team ratification before becoming baseline. This change-control discipline is the primary defense against scope growth and interface drift.</w:t>
      </w:r>
    </w:p>
    <w:tbl>
      <w:tblPr>
        <w:tblW w:w="9360" w:type="dxa"/>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Layout w:type="fixed"/>
        <w:tblLook w:val="04A0" w:firstRow="1" w:lastRow="0" w:firstColumn="1" w:lastColumn="0" w:noHBand="0" w:noVBand="1"/>
      </w:tblPr>
      <w:tblGrid>
        <w:gridCol w:w="2750"/>
        <w:gridCol w:w="6610"/>
      </w:tblGrid>
      <w:tr w:rsidR="007F3E1E" w14:paraId="5C09EC1A" w14:textId="77777777">
        <w:trPr>
          <w:cantSplit/>
          <w:tblHeader/>
        </w:trPr>
        <w:tc>
          <w:tcPr>
            <w:tcW w:w="2750" w:type="dxa"/>
            <w:shd w:val="clear" w:color="auto" w:fill="F2F4F7"/>
            <w:tcMar>
              <w:top w:w="80" w:type="dxa"/>
              <w:left w:w="120" w:type="dxa"/>
              <w:bottom w:w="80" w:type="dxa"/>
              <w:right w:w="120" w:type="dxa"/>
            </w:tcMar>
            <w:vAlign w:val="center"/>
          </w:tcPr>
          <w:p w14:paraId="443B59A6" w14:textId="77777777" w:rsidR="007F3E1E" w:rsidRDefault="009416DE">
            <w:pPr>
              <w:spacing w:after="0" w:line="240" w:lineRule="auto"/>
            </w:pPr>
            <w:r>
              <w:rPr>
                <w:b/>
                <w:sz w:val="19"/>
              </w:rPr>
              <w:t>Priority issue</w:t>
            </w:r>
          </w:p>
        </w:tc>
        <w:tc>
          <w:tcPr>
            <w:tcW w:w="6610" w:type="dxa"/>
            <w:shd w:val="clear" w:color="auto" w:fill="F2F4F7"/>
            <w:tcMar>
              <w:top w:w="80" w:type="dxa"/>
              <w:left w:w="120" w:type="dxa"/>
              <w:bottom w:w="80" w:type="dxa"/>
              <w:right w:w="120" w:type="dxa"/>
            </w:tcMar>
            <w:vAlign w:val="center"/>
          </w:tcPr>
          <w:p w14:paraId="33EB1178" w14:textId="77777777" w:rsidR="007F3E1E" w:rsidRDefault="009416DE">
            <w:pPr>
              <w:spacing w:after="0" w:line="240" w:lineRule="auto"/>
            </w:pPr>
            <w:r>
              <w:rPr>
                <w:b/>
                <w:sz w:val="19"/>
              </w:rPr>
              <w:t>Executive implication / response</w:t>
            </w:r>
          </w:p>
        </w:tc>
      </w:tr>
      <w:tr w:rsidR="007F3E1E" w14:paraId="52EDA358" w14:textId="77777777">
        <w:trPr>
          <w:cantSplit/>
        </w:trPr>
        <w:tc>
          <w:tcPr>
            <w:tcW w:w="2750" w:type="dxa"/>
            <w:tcMar>
              <w:top w:w="80" w:type="dxa"/>
              <w:left w:w="120" w:type="dxa"/>
              <w:bottom w:w="80" w:type="dxa"/>
              <w:right w:w="120" w:type="dxa"/>
            </w:tcMar>
          </w:tcPr>
          <w:p w14:paraId="03B3948A" w14:textId="77777777" w:rsidR="007F3E1E" w:rsidRDefault="009416DE">
            <w:pPr>
              <w:spacing w:after="0" w:line="252" w:lineRule="auto"/>
            </w:pPr>
            <w:r>
              <w:rPr>
                <w:sz w:val="19"/>
              </w:rPr>
              <w:lastRenderedPageBreak/>
              <w:t>Approvals remain pending</w:t>
            </w:r>
          </w:p>
        </w:tc>
        <w:tc>
          <w:tcPr>
            <w:tcW w:w="6610" w:type="dxa"/>
            <w:tcMar>
              <w:top w:w="80" w:type="dxa"/>
              <w:left w:w="120" w:type="dxa"/>
              <w:bottom w:w="80" w:type="dxa"/>
              <w:right w:w="120" w:type="dxa"/>
            </w:tcMar>
          </w:tcPr>
          <w:p w14:paraId="1B56259C" w14:textId="77777777" w:rsidR="007F3E1E" w:rsidRDefault="009416DE">
            <w:pPr>
              <w:spacing w:after="0" w:line="252" w:lineRule="auto"/>
            </w:pPr>
            <w:r>
              <w:rPr>
                <w:sz w:val="19"/>
              </w:rPr>
              <w:t>The Charter and SOW need team ratification; the TDS needs technical approval before the baseline is effective.</w:t>
            </w:r>
          </w:p>
        </w:tc>
      </w:tr>
      <w:tr w:rsidR="007F3E1E" w14:paraId="3C4AC70F" w14:textId="77777777">
        <w:trPr>
          <w:cantSplit/>
        </w:trPr>
        <w:tc>
          <w:tcPr>
            <w:tcW w:w="2750" w:type="dxa"/>
            <w:tcMar>
              <w:top w:w="80" w:type="dxa"/>
              <w:left w:w="120" w:type="dxa"/>
              <w:bottom w:w="80" w:type="dxa"/>
              <w:right w:w="120" w:type="dxa"/>
            </w:tcMar>
          </w:tcPr>
          <w:p w14:paraId="01A0405D" w14:textId="769EDA08" w:rsidR="007F3E1E" w:rsidRDefault="009836DA">
            <w:pPr>
              <w:spacing w:after="0" w:line="252" w:lineRule="auto"/>
            </w:pPr>
            <w:r>
              <w:rPr>
                <w:sz w:val="19"/>
              </w:rPr>
              <w:t>Ownership is partially assigned; dates remain TBD</w:t>
            </w:r>
          </w:p>
        </w:tc>
        <w:tc>
          <w:tcPr>
            <w:tcW w:w="6610" w:type="dxa"/>
            <w:tcMar>
              <w:top w:w="80" w:type="dxa"/>
              <w:left w:w="120" w:type="dxa"/>
              <w:bottom w:w="80" w:type="dxa"/>
              <w:right w:w="120" w:type="dxa"/>
            </w:tcMar>
          </w:tcPr>
          <w:p w14:paraId="7BD1D7A5" w14:textId="77777777" w:rsidR="007F3E1E" w:rsidRDefault="009416DE">
            <w:pPr>
              <w:spacing w:after="0" w:line="252" w:lineRule="auto"/>
            </w:pPr>
            <w:r>
              <w:rPr>
                <w:sz w:val="19"/>
              </w:rPr>
              <w:t>Assign one owner and one reviewer to each WP-01 through WP-08 and populate dependency-ordered milestones once the course deadline is confirmed.</w:t>
            </w:r>
          </w:p>
        </w:tc>
      </w:tr>
      <w:tr w:rsidR="007F3E1E" w14:paraId="3C3E8442" w14:textId="77777777">
        <w:trPr>
          <w:cantSplit/>
        </w:trPr>
        <w:tc>
          <w:tcPr>
            <w:tcW w:w="2750" w:type="dxa"/>
            <w:tcMar>
              <w:top w:w="80" w:type="dxa"/>
              <w:left w:w="120" w:type="dxa"/>
              <w:bottom w:w="80" w:type="dxa"/>
              <w:right w:w="120" w:type="dxa"/>
            </w:tcMar>
          </w:tcPr>
          <w:p w14:paraId="1BC3620B" w14:textId="77777777" w:rsidR="007F3E1E" w:rsidRDefault="009416DE">
            <w:pPr>
              <w:spacing w:after="0" w:line="252" w:lineRule="auto"/>
            </w:pPr>
            <w:r>
              <w:rPr>
                <w:sz w:val="19"/>
              </w:rPr>
              <w:t>Course requirements are unresolved</w:t>
            </w:r>
          </w:p>
        </w:tc>
        <w:tc>
          <w:tcPr>
            <w:tcW w:w="6610" w:type="dxa"/>
            <w:tcMar>
              <w:top w:w="80" w:type="dxa"/>
              <w:left w:w="120" w:type="dxa"/>
              <w:bottom w:w="80" w:type="dxa"/>
              <w:right w:w="120" w:type="dxa"/>
            </w:tcMar>
          </w:tcPr>
          <w:p w14:paraId="31950070" w14:textId="77777777" w:rsidR="007F3E1E" w:rsidRDefault="009416DE">
            <w:pPr>
              <w:spacing w:after="0" w:line="252" w:lineRule="auto"/>
            </w:pPr>
            <w:r>
              <w:rPr>
                <w:sz w:val="19"/>
              </w:rPr>
              <w:t>Professor/instructor guidance may add artifacts or constraints; incorporate it through controlled revisions across all affected documents.</w:t>
            </w:r>
          </w:p>
        </w:tc>
      </w:tr>
      <w:tr w:rsidR="007F3E1E" w14:paraId="07364E53" w14:textId="77777777">
        <w:trPr>
          <w:cantSplit/>
        </w:trPr>
        <w:tc>
          <w:tcPr>
            <w:tcW w:w="2750" w:type="dxa"/>
            <w:tcMar>
              <w:top w:w="80" w:type="dxa"/>
              <w:left w:w="120" w:type="dxa"/>
              <w:bottom w:w="80" w:type="dxa"/>
              <w:right w:w="120" w:type="dxa"/>
            </w:tcMar>
          </w:tcPr>
          <w:p w14:paraId="45649AF6" w14:textId="1BE6A45E" w:rsidR="007F3E1E" w:rsidRDefault="009836DA">
            <w:pPr>
              <w:spacing w:after="0" w:line="252" w:lineRule="auto"/>
            </w:pPr>
            <w:r>
              <w:rPr>
                <w:sz w:val="19"/>
              </w:rPr>
              <w:t>Document cross-references require synchronization</w:t>
            </w:r>
          </w:p>
        </w:tc>
        <w:tc>
          <w:tcPr>
            <w:tcW w:w="6610" w:type="dxa"/>
            <w:tcMar>
              <w:top w:w="80" w:type="dxa"/>
              <w:left w:w="120" w:type="dxa"/>
              <w:bottom w:w="80" w:type="dxa"/>
              <w:right w:w="120" w:type="dxa"/>
            </w:tcMar>
          </w:tcPr>
          <w:p w14:paraId="3F99B80B" w14:textId="7B4A98FD" w:rsidR="007F3E1E" w:rsidRDefault="009836DA">
            <w:pPr>
              <w:spacing w:after="0" w:line="252" w:lineRule="auto"/>
            </w:pPr>
            <w:r>
              <w:rPr>
                <w:sz w:val="19"/>
              </w:rPr>
              <w:t>Keep Charter, SOW, TDS, README, and repository guidance version references synchronized as later changes are ratified.</w:t>
            </w:r>
          </w:p>
        </w:tc>
      </w:tr>
      <w:tr w:rsidR="007F3E1E" w14:paraId="39625907" w14:textId="77777777">
        <w:trPr>
          <w:cantSplit/>
        </w:trPr>
        <w:tc>
          <w:tcPr>
            <w:tcW w:w="2750" w:type="dxa"/>
            <w:tcMar>
              <w:top w:w="80" w:type="dxa"/>
              <w:left w:w="120" w:type="dxa"/>
              <w:bottom w:w="80" w:type="dxa"/>
              <w:right w:w="120" w:type="dxa"/>
            </w:tcMar>
          </w:tcPr>
          <w:p w14:paraId="49676ED7" w14:textId="77777777" w:rsidR="007F3E1E" w:rsidRDefault="009416DE">
            <w:pPr>
              <w:spacing w:after="0" w:line="252" w:lineRule="auto"/>
            </w:pPr>
            <w:r>
              <w:rPr>
                <w:sz w:val="19"/>
              </w:rPr>
              <w:t>Integration and contract drift</w:t>
            </w:r>
          </w:p>
        </w:tc>
        <w:tc>
          <w:tcPr>
            <w:tcW w:w="6610" w:type="dxa"/>
            <w:tcMar>
              <w:top w:w="80" w:type="dxa"/>
              <w:left w:w="120" w:type="dxa"/>
              <w:bottom w:w="80" w:type="dxa"/>
              <w:right w:w="120" w:type="dxa"/>
            </w:tcMar>
          </w:tcPr>
          <w:p w14:paraId="2013F9C9" w14:textId="77777777" w:rsidR="007F3E1E" w:rsidRDefault="009416DE">
            <w:pPr>
              <w:spacing w:after="0" w:line="252" w:lineRule="auto"/>
            </w:pPr>
            <w:r>
              <w:rPr>
                <w:sz w:val="19"/>
              </w:rPr>
              <w:t>Freeze approved JSON/CSV fixtures and public interfaces, then prove a one-trial vertical slice before building the full loop.</w:t>
            </w:r>
          </w:p>
        </w:tc>
      </w:tr>
    </w:tbl>
    <w:p w14:paraId="0CFE468D" w14:textId="77777777" w:rsidR="007F3E1E" w:rsidRDefault="007F3E1E">
      <w:pPr>
        <w:spacing w:after="40"/>
      </w:pPr>
    </w:p>
    <w:p w14:paraId="11E53D02" w14:textId="77777777" w:rsidR="007F3E1E" w:rsidRDefault="009416DE">
      <w:pPr>
        <w:pStyle w:val="Heading1"/>
      </w:pPr>
      <w:r>
        <w:t>Recommended Immediate Next Steps</w:t>
      </w:r>
    </w:p>
    <w:p w14:paraId="22622888" w14:textId="77777777" w:rsidR="007F3E1E" w:rsidRDefault="009416DE">
      <w:pPr>
        <w:numPr>
          <w:ilvl w:val="0"/>
          <w:numId w:val="1"/>
        </w:numPr>
      </w:pPr>
      <w:r>
        <w:rPr>
          <w:b/>
        </w:rPr>
        <w:t>Review and ratify the baseline.</w:t>
      </w:r>
      <w:r>
        <w:t xml:space="preserve"> Resolve comments across the Charter, SOW, and TDS; record decisions, dates, effective status, and instructor guidance.</w:t>
      </w:r>
    </w:p>
    <w:p w14:paraId="2AB9A2BA" w14:textId="527A4B44" w:rsidR="007F3E1E" w:rsidRDefault="009416DE">
      <w:pPr>
        <w:numPr>
          <w:ilvl w:val="0"/>
          <w:numId w:val="1"/>
        </w:numPr>
      </w:pPr>
      <w:r>
        <w:rPr>
          <w:b/>
        </w:rPr>
        <w:t>Assign the work.</w:t>
      </w:r>
      <w:r>
        <w:t xml:space="preserve"> </w:t>
      </w:r>
      <w:r w:rsidR="009836DA">
        <w:t>Confirm Mel as integration owner and name an owner and interface reviewer for each remaining work package.</w:t>
      </w:r>
    </w:p>
    <w:p w14:paraId="2EA491B0" w14:textId="77777777" w:rsidR="007F3E1E" w:rsidRDefault="009416DE">
      <w:pPr>
        <w:numPr>
          <w:ilvl w:val="0"/>
          <w:numId w:val="1"/>
        </w:numPr>
      </w:pPr>
      <w:r>
        <w:rPr>
          <w:b/>
        </w:rPr>
        <w:t>Synchronize controlled documents.</w:t>
      </w:r>
      <w:r>
        <w:t xml:space="preserve"> Update the SOW’s TDS status, align cross-references, and maintain one shared vocabulary and change record.</w:t>
      </w:r>
    </w:p>
    <w:p w14:paraId="7A75D7CA" w14:textId="77777777" w:rsidR="007F3E1E" w:rsidRDefault="009416DE">
      <w:pPr>
        <w:numPr>
          <w:ilvl w:val="0"/>
          <w:numId w:val="1"/>
        </w:numPr>
      </w:pPr>
      <w:r>
        <w:rPr>
          <w:b/>
        </w:rPr>
        <w:t>Freeze contracts and build the vertical slice.</w:t>
      </w:r>
      <w:r>
        <w:t xml:space="preserve"> Approve the example JSON, CLI conversion, one-row CSV, TrialRecord fields, and output schema; then demonstrate Candidate → Worker → Metrics → TrialRecord.</w:t>
      </w:r>
    </w:p>
    <w:p w14:paraId="15E44BD5" w14:textId="77777777" w:rsidR="007F3E1E" w:rsidRDefault="009416DE">
      <w:pPr>
        <w:numPr>
          <w:ilvl w:val="0"/>
          <w:numId w:val="1"/>
        </w:numPr>
      </w:pPr>
      <w:r>
        <w:rPr>
          <w:b/>
        </w:rPr>
        <w:t>Integrate in dependency order.</w:t>
      </w:r>
      <w:r>
        <w:t xml:space="preserve"> Complete the sequential loop, Pareto fixture, reporting, failure handling, and AT-01 through AT-16 evidence before submission readiness review.</w:t>
      </w:r>
    </w:p>
    <w:p w14:paraId="723DF022" w14:textId="77777777" w:rsidR="007F3E1E" w:rsidRDefault="009416DE">
      <w:pPr>
        <w:pStyle w:val="Heading1"/>
      </w:pPr>
      <w:r>
        <w:t>Bottom Line</w:t>
      </w:r>
    </w:p>
    <w:p w14:paraId="4D324CAD" w14:textId="77777777" w:rsidR="007F3E1E" w:rsidRDefault="009416DE">
      <w:r>
        <w:t>The Black Box Optimizer has a strong, internally consistent design baseline: it is deliberately local, modular, auditable, reproducible, and bounded. The major remaining risks are administrative and integration-oriented rather than conceptual. Formal approval, ownership, schedule alignment, contract freezing, and an early end-to-end vertical slice will convert the current specification package into an executable team plan.</w:t>
      </w:r>
    </w:p>
    <w:sectPr w:rsidR="007F3E1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E165" w14:textId="77777777" w:rsidR="009416DE" w:rsidRDefault="009416DE">
      <w:pPr>
        <w:spacing w:after="0" w:line="240" w:lineRule="auto"/>
      </w:pPr>
      <w:r>
        <w:separator/>
      </w:r>
    </w:p>
  </w:endnote>
  <w:endnote w:type="continuationSeparator" w:id="0">
    <w:p w14:paraId="0BBAF2F2" w14:textId="77777777" w:rsidR="009416DE" w:rsidRDefault="0094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0226" w14:textId="77777777" w:rsidR="007F3E1E" w:rsidRDefault="009416DE">
    <w:pPr>
      <w:pStyle w:val="Footer"/>
      <w:jc w:val="right"/>
    </w:pPr>
    <w:r>
      <w:rPr>
        <w:color w:val="555555"/>
        <w:sz w:val="18"/>
      </w:rPr>
      <w:t xml:space="preserve">Draft baseline review  •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r>
      <w:rPr>
        <w:color w:val="555555"/>
        <w:sz w:val="18"/>
      </w:rPr>
      <w:t xml:space="preserve"> of </w:t>
    </w:r>
    <w:r>
      <w:rPr>
        <w:color w:val="555555"/>
        <w:sz w:val="18"/>
      </w:rPr>
      <w:fldChar w:fldCharType="begin"/>
    </w:r>
    <w:r>
      <w:rPr>
        <w:color w:val="555555"/>
        <w:sz w:val="18"/>
      </w:rPr>
      <w:instrText xml:space="preserve"> NUMPAGES </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EB0A" w14:textId="77777777" w:rsidR="009416DE" w:rsidRDefault="009416DE">
      <w:pPr>
        <w:spacing w:after="0" w:line="240" w:lineRule="auto"/>
      </w:pPr>
      <w:r>
        <w:separator/>
      </w:r>
    </w:p>
  </w:footnote>
  <w:footnote w:type="continuationSeparator" w:id="0">
    <w:p w14:paraId="6BAA4C42" w14:textId="77777777" w:rsidR="009416DE" w:rsidRDefault="00941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3A84" w14:textId="77777777" w:rsidR="007F3E1E" w:rsidRDefault="009416DE">
    <w:pPr>
      <w:pStyle w:val="Header"/>
    </w:pPr>
    <w:r>
      <w:rPr>
        <w:b/>
        <w:color w:val="555555"/>
        <w:sz w:val="17"/>
      </w:rPr>
      <w:t>BLACK BOX OPTIMIZER  |  EXECUTIVE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CF6459"/>
    <w:multiLevelType w:val="singleLevel"/>
    <w:tmpl w:val="CF3CD374"/>
    <w:lvl w:ilvl="0">
      <w:start w:val="1"/>
      <w:numFmt w:val="decimal"/>
      <w:lvlText w:val="%1."/>
      <w:lvlJc w:val="left"/>
      <w:pPr>
        <w:tabs>
          <w:tab w:val="num" w:pos="720"/>
        </w:tabs>
        <w:spacing w:after="160" w:line="280" w:lineRule="auto"/>
        <w:ind w:left="720" w:hanging="360"/>
      </w:pPr>
    </w:lvl>
  </w:abstractNum>
  <w:abstractNum w:abstractNumId="10" w15:restartNumberingAfterBreak="0">
    <w:nsid w:val="1C5778A7"/>
    <w:multiLevelType w:val="singleLevel"/>
    <w:tmpl w:val="E0500BCE"/>
    <w:lvl w:ilvl="0">
      <w:start w:val="1"/>
      <w:numFmt w:val="decimal"/>
      <w:pStyle w:val="ListBullet"/>
      <w:lvlText w:val="%1."/>
      <w:lvlJc w:val="left"/>
      <w:pPr>
        <w:tabs>
          <w:tab w:val="num" w:pos="720"/>
        </w:tabs>
        <w:spacing w:after="160" w:line="280" w:lineRule="auto"/>
        <w:ind w:left="720" w:hanging="360"/>
      </w:pPr>
    </w:lvl>
  </w:abstractNum>
  <w:abstractNum w:abstractNumId="11" w15:restartNumberingAfterBreak="0">
    <w:nsid w:val="379E6ACA"/>
    <w:multiLevelType w:val="singleLevel"/>
    <w:tmpl w:val="13FE5096"/>
    <w:lvl w:ilvl="0">
      <w:start w:val="1"/>
      <w:numFmt w:val="bullet"/>
      <w:lvlText w:val="•"/>
      <w:lvlJc w:val="left"/>
      <w:pPr>
        <w:tabs>
          <w:tab w:val="num" w:pos="720"/>
        </w:tabs>
        <w:spacing w:after="160" w:line="280" w:lineRule="auto"/>
        <w:ind w:left="720" w:hanging="360"/>
      </w:pPr>
      <w:rPr>
        <w:rFonts w:ascii="Symbol" w:hAnsi="Symbol"/>
      </w:rPr>
    </w:lvl>
  </w:abstractNum>
  <w:num w:numId="1" w16cid:durableId="200748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FA"/>
    <w:rsid w:val="0015074B"/>
    <w:rsid w:val="0029639D"/>
    <w:rsid w:val="00326F90"/>
    <w:rsid w:val="007F3E1E"/>
    <w:rsid w:val="009416DE"/>
    <w:rsid w:val="009836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4BE25"/>
  <w14:defaultImageDpi w14:val="300"/>
  <w15:docId w15:val="{0D2664DB-963F-40FB-8AF4-0A1154E4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B3A"/>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40" w:lineRule="auto"/>
    </w:pPr>
    <w:rPr>
      <w:rFonts w:asciiTheme="majorHAnsi" w:eastAsiaTheme="majorEastAsia" w:hAnsiTheme="majorHAnsi" w:cstheme="majorBid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1698</Words>
  <Characters>9680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Executive Summary</dc:title>
  <dc:subject>Executive summary of BBO-PC-001, BBO-SOW-001, and BBO-TDS-001</dc:subject>
  <dc:creator>TheSnekPeople</dc:creator>
  <cp:keywords>Black Box Optimizer, CSCI 3038, executive summary, Pareto optimization</cp:keywords>
  <dc:description>Prepared from Draft v0.1 controlled project documents dated July 17, 2026.</dc:description>
  <cp:lastModifiedBy>Mel Bailey</cp:lastModifiedBy>
  <cp:revision>2</cp:revision>
  <dcterms:created xsi:type="dcterms:W3CDTF">2013-12-23T23:15:00Z</dcterms:created>
  <dcterms:modified xsi:type="dcterms:W3CDTF">2026-07-22T04:13:00Z</dcterms:modified>
  <cp:category/>
</cp:coreProperties>
</file>