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882689" w14:textId="77777777" w:rsidR="00C03C47" w:rsidRDefault="00000000">
      <w:pPr>
        <w:pStyle w:val="Titre"/>
      </w:pPr>
      <w:r>
        <w:t>Rapport TP5 - Analyse des Systemes Agricoles au Nigeria</w:t>
      </w:r>
    </w:p>
    <w:p w14:paraId="693B1442" w14:textId="77777777" w:rsidR="00C03C47" w:rsidRDefault="00000000">
      <w:pPr>
        <w:pStyle w:val="Author"/>
      </w:pPr>
      <w:r>
        <w:t>Apollos BAGBONON - Kadidja GUEBEDIANG</w:t>
      </w:r>
    </w:p>
    <w:p w14:paraId="1A85148D" w14:textId="77777777" w:rsidR="00C03C47" w:rsidRDefault="00000000">
      <w:pPr>
        <w:pStyle w:val="Date"/>
      </w:pPr>
      <w:r>
        <w:t>2026-04-19</w:t>
      </w:r>
    </w:p>
    <w:sdt>
      <w:sdtPr>
        <w:rPr>
          <w:rFonts w:asciiTheme="minorHAnsi" w:eastAsiaTheme="minorHAnsi" w:hAnsiTheme="minorHAnsi" w:cstheme="minorBidi"/>
          <w:color w:val="auto"/>
          <w:sz w:val="24"/>
          <w:szCs w:val="24"/>
        </w:rPr>
        <w:id w:val="1564757720"/>
        <w:docPartObj>
          <w:docPartGallery w:val="Table of Contents"/>
          <w:docPartUnique/>
        </w:docPartObj>
      </w:sdtPr>
      <w:sdtContent>
        <w:p w14:paraId="7E722043" w14:textId="77777777" w:rsidR="00C03C47" w:rsidRDefault="00000000">
          <w:pPr>
            <w:pStyle w:val="En-ttedetabledesmatires"/>
          </w:pPr>
          <w:r>
            <w:t>Table of Contents</w:t>
          </w:r>
        </w:p>
        <w:p w14:paraId="7B4CAFA2" w14:textId="77777777" w:rsidR="00CA547B" w:rsidRDefault="00000000">
          <w:pPr>
            <w:pStyle w:val="TM1"/>
            <w:tabs>
              <w:tab w:val="right" w:leader="dot" w:pos="9396"/>
            </w:tabs>
            <w:rPr>
              <w:noProof/>
            </w:rPr>
          </w:pPr>
          <w:r>
            <w:fldChar w:fldCharType="begin"/>
          </w:r>
          <w:r>
            <w:instrText>TOC \o "1-4" \h \z \u</w:instrText>
          </w:r>
          <w:r>
            <w:fldChar w:fldCharType="separate"/>
          </w:r>
          <w:hyperlink w:anchor="_Toc227451615" w:history="1">
            <w:r w:rsidR="00CA547B" w:rsidRPr="003802A7">
              <w:rPr>
                <w:rStyle w:val="Lienhypertexte"/>
                <w:noProof/>
              </w:rPr>
              <w:t>Introduction</w:t>
            </w:r>
            <w:r w:rsidR="00CA547B">
              <w:rPr>
                <w:noProof/>
                <w:webHidden/>
              </w:rPr>
              <w:tab/>
            </w:r>
            <w:r w:rsidR="00CA547B">
              <w:rPr>
                <w:noProof/>
                <w:webHidden/>
              </w:rPr>
              <w:fldChar w:fldCharType="begin"/>
            </w:r>
            <w:r w:rsidR="00CA547B">
              <w:rPr>
                <w:noProof/>
                <w:webHidden/>
              </w:rPr>
              <w:instrText xml:space="preserve"> PAGEREF _Toc227451615 \h </w:instrText>
            </w:r>
            <w:r w:rsidR="00CA547B">
              <w:rPr>
                <w:noProof/>
                <w:webHidden/>
              </w:rPr>
            </w:r>
            <w:r w:rsidR="00CA547B">
              <w:rPr>
                <w:noProof/>
                <w:webHidden/>
              </w:rPr>
              <w:fldChar w:fldCharType="separate"/>
            </w:r>
            <w:r w:rsidR="00CA547B">
              <w:rPr>
                <w:noProof/>
                <w:webHidden/>
              </w:rPr>
              <w:t>1</w:t>
            </w:r>
            <w:r w:rsidR="00CA547B">
              <w:rPr>
                <w:noProof/>
                <w:webHidden/>
              </w:rPr>
              <w:fldChar w:fldCharType="end"/>
            </w:r>
          </w:hyperlink>
        </w:p>
        <w:p w14:paraId="47FADF73" w14:textId="77777777" w:rsidR="00CA547B" w:rsidRDefault="00CA547B">
          <w:pPr>
            <w:pStyle w:val="TM1"/>
            <w:tabs>
              <w:tab w:val="right" w:leader="dot" w:pos="9396"/>
            </w:tabs>
            <w:rPr>
              <w:noProof/>
            </w:rPr>
          </w:pPr>
          <w:hyperlink w:anchor="_Toc227451616" w:history="1">
            <w:r w:rsidRPr="003802A7">
              <w:rPr>
                <w:rStyle w:val="Lienhypertexte"/>
                <w:noProof/>
              </w:rPr>
              <w:t>1. Liste des 15 cultures les plus frequentes dans les menages</w:t>
            </w:r>
            <w:r>
              <w:rPr>
                <w:noProof/>
                <w:webHidden/>
              </w:rPr>
              <w:tab/>
            </w:r>
            <w:r>
              <w:rPr>
                <w:noProof/>
                <w:webHidden/>
              </w:rPr>
              <w:fldChar w:fldCharType="begin"/>
            </w:r>
            <w:r>
              <w:rPr>
                <w:noProof/>
                <w:webHidden/>
              </w:rPr>
              <w:instrText xml:space="preserve"> PAGEREF _Toc227451616 \h </w:instrText>
            </w:r>
            <w:r>
              <w:rPr>
                <w:noProof/>
                <w:webHidden/>
              </w:rPr>
            </w:r>
            <w:r>
              <w:rPr>
                <w:noProof/>
                <w:webHidden/>
              </w:rPr>
              <w:fldChar w:fldCharType="separate"/>
            </w:r>
            <w:r>
              <w:rPr>
                <w:noProof/>
                <w:webHidden/>
              </w:rPr>
              <w:t>1</w:t>
            </w:r>
            <w:r>
              <w:rPr>
                <w:noProof/>
                <w:webHidden/>
              </w:rPr>
              <w:fldChar w:fldCharType="end"/>
            </w:r>
          </w:hyperlink>
        </w:p>
        <w:p w14:paraId="7E5B1385" w14:textId="77777777" w:rsidR="00CA547B" w:rsidRDefault="00CA547B">
          <w:pPr>
            <w:pStyle w:val="TM1"/>
            <w:tabs>
              <w:tab w:val="right" w:leader="dot" w:pos="9396"/>
            </w:tabs>
            <w:rPr>
              <w:noProof/>
            </w:rPr>
          </w:pPr>
          <w:hyperlink w:anchor="_Toc227451617" w:history="1">
            <w:r w:rsidRPr="003802A7">
              <w:rPr>
                <w:rStyle w:val="Lienhypertexte"/>
                <w:noProof/>
              </w:rPr>
              <w:t>2. Indice de diversification culturale et comparaison urbain vs rural</w:t>
            </w:r>
            <w:r>
              <w:rPr>
                <w:noProof/>
                <w:webHidden/>
              </w:rPr>
              <w:tab/>
            </w:r>
            <w:r>
              <w:rPr>
                <w:noProof/>
                <w:webHidden/>
              </w:rPr>
              <w:fldChar w:fldCharType="begin"/>
            </w:r>
            <w:r>
              <w:rPr>
                <w:noProof/>
                <w:webHidden/>
              </w:rPr>
              <w:instrText xml:space="preserve"> PAGEREF _Toc227451617 \h </w:instrText>
            </w:r>
            <w:r>
              <w:rPr>
                <w:noProof/>
                <w:webHidden/>
              </w:rPr>
            </w:r>
            <w:r>
              <w:rPr>
                <w:noProof/>
                <w:webHidden/>
              </w:rPr>
              <w:fldChar w:fldCharType="separate"/>
            </w:r>
            <w:r>
              <w:rPr>
                <w:noProof/>
                <w:webHidden/>
              </w:rPr>
              <w:t>1</w:t>
            </w:r>
            <w:r>
              <w:rPr>
                <w:noProof/>
                <w:webHidden/>
              </w:rPr>
              <w:fldChar w:fldCharType="end"/>
            </w:r>
          </w:hyperlink>
        </w:p>
        <w:p w14:paraId="0708BFDE" w14:textId="77777777" w:rsidR="00CA547B" w:rsidRDefault="00CA547B">
          <w:pPr>
            <w:pStyle w:val="TM2"/>
            <w:tabs>
              <w:tab w:val="right" w:leader="dot" w:pos="9396"/>
            </w:tabs>
            <w:rPr>
              <w:noProof/>
            </w:rPr>
          </w:pPr>
          <w:hyperlink w:anchor="_Toc227451618" w:history="1">
            <w:r w:rsidRPr="003802A7">
              <w:rPr>
                <w:rStyle w:val="Lienhypertexte"/>
                <w:noProof/>
              </w:rPr>
              <w:t>2.1 Distribution du nombre de cultures par menage</w:t>
            </w:r>
            <w:r>
              <w:rPr>
                <w:noProof/>
                <w:webHidden/>
              </w:rPr>
              <w:tab/>
            </w:r>
            <w:r>
              <w:rPr>
                <w:noProof/>
                <w:webHidden/>
              </w:rPr>
              <w:fldChar w:fldCharType="begin"/>
            </w:r>
            <w:r>
              <w:rPr>
                <w:noProof/>
                <w:webHidden/>
              </w:rPr>
              <w:instrText xml:space="preserve"> PAGEREF _Toc227451618 \h </w:instrText>
            </w:r>
            <w:r>
              <w:rPr>
                <w:noProof/>
                <w:webHidden/>
              </w:rPr>
            </w:r>
            <w:r>
              <w:rPr>
                <w:noProof/>
                <w:webHidden/>
              </w:rPr>
              <w:fldChar w:fldCharType="separate"/>
            </w:r>
            <w:r>
              <w:rPr>
                <w:noProof/>
                <w:webHidden/>
              </w:rPr>
              <w:t>1</w:t>
            </w:r>
            <w:r>
              <w:rPr>
                <w:noProof/>
                <w:webHidden/>
              </w:rPr>
              <w:fldChar w:fldCharType="end"/>
            </w:r>
          </w:hyperlink>
        </w:p>
        <w:p w14:paraId="75B56683" w14:textId="77777777" w:rsidR="00CA547B" w:rsidRDefault="00CA547B">
          <w:pPr>
            <w:pStyle w:val="TM2"/>
            <w:tabs>
              <w:tab w:val="right" w:leader="dot" w:pos="9396"/>
            </w:tabs>
            <w:rPr>
              <w:noProof/>
            </w:rPr>
          </w:pPr>
          <w:hyperlink w:anchor="_Toc227451619" w:history="1">
            <w:r w:rsidRPr="003802A7">
              <w:rPr>
                <w:rStyle w:val="Lienhypertexte"/>
                <w:noProof/>
              </w:rPr>
              <w:t>2.2 Test de Wilcoxon</w:t>
            </w:r>
            <w:r>
              <w:rPr>
                <w:noProof/>
                <w:webHidden/>
              </w:rPr>
              <w:tab/>
            </w:r>
            <w:r>
              <w:rPr>
                <w:noProof/>
                <w:webHidden/>
              </w:rPr>
              <w:fldChar w:fldCharType="begin"/>
            </w:r>
            <w:r>
              <w:rPr>
                <w:noProof/>
                <w:webHidden/>
              </w:rPr>
              <w:instrText xml:space="preserve"> PAGEREF _Toc227451619 \h </w:instrText>
            </w:r>
            <w:r>
              <w:rPr>
                <w:noProof/>
                <w:webHidden/>
              </w:rPr>
            </w:r>
            <w:r>
              <w:rPr>
                <w:noProof/>
                <w:webHidden/>
              </w:rPr>
              <w:fldChar w:fldCharType="separate"/>
            </w:r>
            <w:r>
              <w:rPr>
                <w:noProof/>
                <w:webHidden/>
              </w:rPr>
              <w:t>1</w:t>
            </w:r>
            <w:r>
              <w:rPr>
                <w:noProof/>
                <w:webHidden/>
              </w:rPr>
              <w:fldChar w:fldCharType="end"/>
            </w:r>
          </w:hyperlink>
        </w:p>
        <w:p w14:paraId="4B2A98A4" w14:textId="77777777" w:rsidR="00CA547B" w:rsidRDefault="00CA547B">
          <w:pPr>
            <w:pStyle w:val="TM2"/>
            <w:tabs>
              <w:tab w:val="right" w:leader="dot" w:pos="9396"/>
            </w:tabs>
            <w:rPr>
              <w:noProof/>
            </w:rPr>
          </w:pPr>
          <w:hyperlink w:anchor="_Toc227451620" w:history="1">
            <w:r w:rsidRPr="003802A7">
              <w:rPr>
                <w:rStyle w:val="Lienhypertexte"/>
                <w:noProof/>
              </w:rPr>
              <w:t>2.3 Violin plot</w:t>
            </w:r>
            <w:r>
              <w:rPr>
                <w:noProof/>
                <w:webHidden/>
              </w:rPr>
              <w:tab/>
            </w:r>
            <w:r>
              <w:rPr>
                <w:noProof/>
                <w:webHidden/>
              </w:rPr>
              <w:fldChar w:fldCharType="begin"/>
            </w:r>
            <w:r>
              <w:rPr>
                <w:noProof/>
                <w:webHidden/>
              </w:rPr>
              <w:instrText xml:space="preserve"> PAGEREF _Toc227451620 \h </w:instrText>
            </w:r>
            <w:r>
              <w:rPr>
                <w:noProof/>
                <w:webHidden/>
              </w:rPr>
            </w:r>
            <w:r>
              <w:rPr>
                <w:noProof/>
                <w:webHidden/>
              </w:rPr>
              <w:fldChar w:fldCharType="separate"/>
            </w:r>
            <w:r>
              <w:rPr>
                <w:noProof/>
                <w:webHidden/>
              </w:rPr>
              <w:t>1</w:t>
            </w:r>
            <w:r>
              <w:rPr>
                <w:noProof/>
                <w:webHidden/>
              </w:rPr>
              <w:fldChar w:fldCharType="end"/>
            </w:r>
          </w:hyperlink>
        </w:p>
        <w:p w14:paraId="3C2E9888" w14:textId="77777777" w:rsidR="00CA547B" w:rsidRDefault="00CA547B">
          <w:pPr>
            <w:pStyle w:val="TM1"/>
            <w:tabs>
              <w:tab w:val="right" w:leader="dot" w:pos="9396"/>
            </w:tabs>
            <w:rPr>
              <w:noProof/>
            </w:rPr>
          </w:pPr>
          <w:hyperlink w:anchor="_Toc227451621" w:history="1">
            <w:r w:rsidRPr="003802A7">
              <w:rPr>
                <w:rStyle w:val="Lienhypertexte"/>
                <w:noProof/>
              </w:rPr>
              <w:t>3. Utilisation des engrais par type et par milieu</w:t>
            </w:r>
            <w:r>
              <w:rPr>
                <w:noProof/>
                <w:webHidden/>
              </w:rPr>
              <w:tab/>
            </w:r>
            <w:r>
              <w:rPr>
                <w:noProof/>
                <w:webHidden/>
              </w:rPr>
              <w:fldChar w:fldCharType="begin"/>
            </w:r>
            <w:r>
              <w:rPr>
                <w:noProof/>
                <w:webHidden/>
              </w:rPr>
              <w:instrText xml:space="preserve"> PAGEREF _Toc227451621 \h </w:instrText>
            </w:r>
            <w:r>
              <w:rPr>
                <w:noProof/>
                <w:webHidden/>
              </w:rPr>
            </w:r>
            <w:r>
              <w:rPr>
                <w:noProof/>
                <w:webHidden/>
              </w:rPr>
              <w:fldChar w:fldCharType="separate"/>
            </w:r>
            <w:r>
              <w:rPr>
                <w:noProof/>
                <w:webHidden/>
              </w:rPr>
              <w:t>1</w:t>
            </w:r>
            <w:r>
              <w:rPr>
                <w:noProof/>
                <w:webHidden/>
              </w:rPr>
              <w:fldChar w:fldCharType="end"/>
            </w:r>
          </w:hyperlink>
        </w:p>
        <w:p w14:paraId="629E61C9" w14:textId="77777777" w:rsidR="00CA547B" w:rsidRDefault="00CA547B">
          <w:pPr>
            <w:pStyle w:val="TM2"/>
            <w:tabs>
              <w:tab w:val="right" w:leader="dot" w:pos="9396"/>
            </w:tabs>
            <w:rPr>
              <w:noProof/>
            </w:rPr>
          </w:pPr>
          <w:hyperlink w:anchor="_Toc227451622" w:history="1">
            <w:r w:rsidRPr="003802A7">
              <w:rPr>
                <w:rStyle w:val="Lienhypertexte"/>
                <w:noProof/>
              </w:rPr>
              <w:t>3.1 Barplot groupe par milieu de residence</w:t>
            </w:r>
            <w:r>
              <w:rPr>
                <w:noProof/>
                <w:webHidden/>
              </w:rPr>
              <w:tab/>
            </w:r>
            <w:r>
              <w:rPr>
                <w:noProof/>
                <w:webHidden/>
              </w:rPr>
              <w:fldChar w:fldCharType="begin"/>
            </w:r>
            <w:r>
              <w:rPr>
                <w:noProof/>
                <w:webHidden/>
              </w:rPr>
              <w:instrText xml:space="preserve"> PAGEREF _Toc227451622 \h </w:instrText>
            </w:r>
            <w:r>
              <w:rPr>
                <w:noProof/>
                <w:webHidden/>
              </w:rPr>
            </w:r>
            <w:r>
              <w:rPr>
                <w:noProof/>
                <w:webHidden/>
              </w:rPr>
              <w:fldChar w:fldCharType="separate"/>
            </w:r>
            <w:r>
              <w:rPr>
                <w:noProof/>
                <w:webHidden/>
              </w:rPr>
              <w:t>1</w:t>
            </w:r>
            <w:r>
              <w:rPr>
                <w:noProof/>
                <w:webHidden/>
              </w:rPr>
              <w:fldChar w:fldCharType="end"/>
            </w:r>
          </w:hyperlink>
        </w:p>
        <w:p w14:paraId="711A47B0" w14:textId="77777777" w:rsidR="00CA547B" w:rsidRDefault="00CA547B">
          <w:pPr>
            <w:pStyle w:val="TM2"/>
            <w:tabs>
              <w:tab w:val="right" w:leader="dot" w:pos="9396"/>
            </w:tabs>
            <w:rPr>
              <w:noProof/>
            </w:rPr>
          </w:pPr>
          <w:hyperlink w:anchor="_Toc227451623" w:history="1">
            <w:r w:rsidRPr="003802A7">
              <w:rPr>
                <w:rStyle w:val="Lienhypertexte"/>
                <w:noProof/>
              </w:rPr>
              <w:t>3.2 Test de khi-deux entre milieu de residence et type d’engrais</w:t>
            </w:r>
            <w:r>
              <w:rPr>
                <w:noProof/>
                <w:webHidden/>
              </w:rPr>
              <w:tab/>
            </w:r>
            <w:r>
              <w:rPr>
                <w:noProof/>
                <w:webHidden/>
              </w:rPr>
              <w:fldChar w:fldCharType="begin"/>
            </w:r>
            <w:r>
              <w:rPr>
                <w:noProof/>
                <w:webHidden/>
              </w:rPr>
              <w:instrText xml:space="preserve"> PAGEREF _Toc227451623 \h </w:instrText>
            </w:r>
            <w:r>
              <w:rPr>
                <w:noProof/>
                <w:webHidden/>
              </w:rPr>
            </w:r>
            <w:r>
              <w:rPr>
                <w:noProof/>
                <w:webHidden/>
              </w:rPr>
              <w:fldChar w:fldCharType="separate"/>
            </w:r>
            <w:r>
              <w:rPr>
                <w:noProof/>
                <w:webHidden/>
              </w:rPr>
              <w:t>1</w:t>
            </w:r>
            <w:r>
              <w:rPr>
                <w:noProof/>
                <w:webHidden/>
              </w:rPr>
              <w:fldChar w:fldCharType="end"/>
            </w:r>
          </w:hyperlink>
        </w:p>
        <w:p w14:paraId="183D2BD1" w14:textId="77777777" w:rsidR="00CA547B" w:rsidRDefault="00CA547B">
          <w:pPr>
            <w:pStyle w:val="TM3"/>
            <w:tabs>
              <w:tab w:val="right" w:leader="dot" w:pos="9396"/>
            </w:tabs>
            <w:rPr>
              <w:noProof/>
            </w:rPr>
          </w:pPr>
          <w:hyperlink w:anchor="_Toc227451624" w:history="1">
            <w:r w:rsidRPr="003802A7">
              <w:rPr>
                <w:rStyle w:val="Lienhypertexte"/>
                <w:noProof/>
              </w:rPr>
              <w:t>3.2.1 Tableau de contingence</w:t>
            </w:r>
            <w:r>
              <w:rPr>
                <w:noProof/>
                <w:webHidden/>
              </w:rPr>
              <w:tab/>
            </w:r>
            <w:r>
              <w:rPr>
                <w:noProof/>
                <w:webHidden/>
              </w:rPr>
              <w:fldChar w:fldCharType="begin"/>
            </w:r>
            <w:r>
              <w:rPr>
                <w:noProof/>
                <w:webHidden/>
              </w:rPr>
              <w:instrText xml:space="preserve"> PAGEREF _Toc227451624 \h </w:instrText>
            </w:r>
            <w:r>
              <w:rPr>
                <w:noProof/>
                <w:webHidden/>
              </w:rPr>
            </w:r>
            <w:r>
              <w:rPr>
                <w:noProof/>
                <w:webHidden/>
              </w:rPr>
              <w:fldChar w:fldCharType="separate"/>
            </w:r>
            <w:r>
              <w:rPr>
                <w:noProof/>
                <w:webHidden/>
              </w:rPr>
              <w:t>1</w:t>
            </w:r>
            <w:r>
              <w:rPr>
                <w:noProof/>
                <w:webHidden/>
              </w:rPr>
              <w:fldChar w:fldCharType="end"/>
            </w:r>
          </w:hyperlink>
        </w:p>
        <w:p w14:paraId="7DC6B495" w14:textId="77777777" w:rsidR="00CA547B" w:rsidRDefault="00CA547B">
          <w:pPr>
            <w:pStyle w:val="TM3"/>
            <w:tabs>
              <w:tab w:val="right" w:leader="dot" w:pos="9396"/>
            </w:tabs>
            <w:rPr>
              <w:noProof/>
            </w:rPr>
          </w:pPr>
          <w:hyperlink w:anchor="_Toc227451625" w:history="1">
            <w:r w:rsidRPr="003802A7">
              <w:rPr>
                <w:rStyle w:val="Lienhypertexte"/>
                <w:noProof/>
              </w:rPr>
              <w:t>3.2.2 Resultats du test de khi2</w:t>
            </w:r>
            <w:r>
              <w:rPr>
                <w:noProof/>
                <w:webHidden/>
              </w:rPr>
              <w:tab/>
            </w:r>
            <w:r>
              <w:rPr>
                <w:noProof/>
                <w:webHidden/>
              </w:rPr>
              <w:fldChar w:fldCharType="begin"/>
            </w:r>
            <w:r>
              <w:rPr>
                <w:noProof/>
                <w:webHidden/>
              </w:rPr>
              <w:instrText xml:space="preserve"> PAGEREF _Toc227451625 \h </w:instrText>
            </w:r>
            <w:r>
              <w:rPr>
                <w:noProof/>
                <w:webHidden/>
              </w:rPr>
            </w:r>
            <w:r>
              <w:rPr>
                <w:noProof/>
                <w:webHidden/>
              </w:rPr>
              <w:fldChar w:fldCharType="separate"/>
            </w:r>
            <w:r>
              <w:rPr>
                <w:noProof/>
                <w:webHidden/>
              </w:rPr>
              <w:t>1</w:t>
            </w:r>
            <w:r>
              <w:rPr>
                <w:noProof/>
                <w:webHidden/>
              </w:rPr>
              <w:fldChar w:fldCharType="end"/>
            </w:r>
          </w:hyperlink>
        </w:p>
        <w:p w14:paraId="4B0AB928" w14:textId="77777777" w:rsidR="00CA547B" w:rsidRDefault="00CA547B">
          <w:pPr>
            <w:pStyle w:val="TM1"/>
            <w:tabs>
              <w:tab w:val="right" w:leader="dot" w:pos="9396"/>
            </w:tabs>
            <w:rPr>
              <w:noProof/>
            </w:rPr>
          </w:pPr>
          <w:hyperlink w:anchor="_Toc227451626" w:history="1">
            <w:r w:rsidRPr="003802A7">
              <w:rPr>
                <w:rStyle w:val="Lienhypertexte"/>
                <w:noProof/>
              </w:rPr>
              <w:t>4. Rendement a l’hectare pour la culture principale</w:t>
            </w:r>
            <w:r>
              <w:rPr>
                <w:noProof/>
                <w:webHidden/>
              </w:rPr>
              <w:tab/>
            </w:r>
            <w:r>
              <w:rPr>
                <w:noProof/>
                <w:webHidden/>
              </w:rPr>
              <w:fldChar w:fldCharType="begin"/>
            </w:r>
            <w:r>
              <w:rPr>
                <w:noProof/>
                <w:webHidden/>
              </w:rPr>
              <w:instrText xml:space="preserve"> PAGEREF _Toc227451626 \h </w:instrText>
            </w:r>
            <w:r>
              <w:rPr>
                <w:noProof/>
                <w:webHidden/>
              </w:rPr>
            </w:r>
            <w:r>
              <w:rPr>
                <w:noProof/>
                <w:webHidden/>
              </w:rPr>
              <w:fldChar w:fldCharType="separate"/>
            </w:r>
            <w:r>
              <w:rPr>
                <w:noProof/>
                <w:webHidden/>
              </w:rPr>
              <w:t>1</w:t>
            </w:r>
            <w:r>
              <w:rPr>
                <w:noProof/>
                <w:webHidden/>
              </w:rPr>
              <w:fldChar w:fldCharType="end"/>
            </w:r>
          </w:hyperlink>
        </w:p>
        <w:p w14:paraId="756E0546" w14:textId="77777777" w:rsidR="00CA547B" w:rsidRDefault="00CA547B">
          <w:pPr>
            <w:pStyle w:val="TM1"/>
            <w:tabs>
              <w:tab w:val="right" w:leader="dot" w:pos="9396"/>
            </w:tabs>
            <w:rPr>
              <w:noProof/>
            </w:rPr>
          </w:pPr>
          <w:hyperlink w:anchor="_Toc227451627" w:history="1">
            <w:r w:rsidRPr="003802A7">
              <w:rPr>
                <w:rStyle w:val="Lienhypertexte"/>
                <w:noProof/>
              </w:rPr>
              <w:t>5. Relation entre utilisation d’engrais chimique et rendement</w:t>
            </w:r>
            <w:r>
              <w:rPr>
                <w:noProof/>
                <w:webHidden/>
              </w:rPr>
              <w:tab/>
            </w:r>
            <w:r>
              <w:rPr>
                <w:noProof/>
                <w:webHidden/>
              </w:rPr>
              <w:fldChar w:fldCharType="begin"/>
            </w:r>
            <w:r>
              <w:rPr>
                <w:noProof/>
                <w:webHidden/>
              </w:rPr>
              <w:instrText xml:space="preserve"> PAGEREF _Toc227451627 \h </w:instrText>
            </w:r>
            <w:r>
              <w:rPr>
                <w:noProof/>
                <w:webHidden/>
              </w:rPr>
            </w:r>
            <w:r>
              <w:rPr>
                <w:noProof/>
                <w:webHidden/>
              </w:rPr>
              <w:fldChar w:fldCharType="separate"/>
            </w:r>
            <w:r>
              <w:rPr>
                <w:noProof/>
                <w:webHidden/>
              </w:rPr>
              <w:t>1</w:t>
            </w:r>
            <w:r>
              <w:rPr>
                <w:noProof/>
                <w:webHidden/>
              </w:rPr>
              <w:fldChar w:fldCharType="end"/>
            </w:r>
          </w:hyperlink>
        </w:p>
        <w:p w14:paraId="18CD5527" w14:textId="77777777" w:rsidR="00CA547B" w:rsidRDefault="00CA547B">
          <w:pPr>
            <w:pStyle w:val="TM1"/>
            <w:tabs>
              <w:tab w:val="right" w:leader="dot" w:pos="9396"/>
            </w:tabs>
            <w:rPr>
              <w:noProof/>
            </w:rPr>
          </w:pPr>
          <w:hyperlink w:anchor="_Toc227451628" w:history="1">
            <w:r w:rsidRPr="003802A7">
              <w:rPr>
                <w:rStyle w:val="Lienhypertexte"/>
                <w:noProof/>
              </w:rPr>
              <w:t>Conclusion</w:t>
            </w:r>
            <w:r>
              <w:rPr>
                <w:noProof/>
                <w:webHidden/>
              </w:rPr>
              <w:tab/>
            </w:r>
            <w:r>
              <w:rPr>
                <w:noProof/>
                <w:webHidden/>
              </w:rPr>
              <w:fldChar w:fldCharType="begin"/>
            </w:r>
            <w:r>
              <w:rPr>
                <w:noProof/>
                <w:webHidden/>
              </w:rPr>
              <w:instrText xml:space="preserve"> PAGEREF _Toc227451628 \h </w:instrText>
            </w:r>
            <w:r>
              <w:rPr>
                <w:noProof/>
                <w:webHidden/>
              </w:rPr>
            </w:r>
            <w:r>
              <w:rPr>
                <w:noProof/>
                <w:webHidden/>
              </w:rPr>
              <w:fldChar w:fldCharType="separate"/>
            </w:r>
            <w:r>
              <w:rPr>
                <w:noProof/>
                <w:webHidden/>
              </w:rPr>
              <w:t>1</w:t>
            </w:r>
            <w:r>
              <w:rPr>
                <w:noProof/>
                <w:webHidden/>
              </w:rPr>
              <w:fldChar w:fldCharType="end"/>
            </w:r>
          </w:hyperlink>
        </w:p>
        <w:p w14:paraId="1848836D" w14:textId="77777777" w:rsidR="00C03C47" w:rsidRDefault="00000000">
          <w:r>
            <w:fldChar w:fldCharType="end"/>
          </w:r>
        </w:p>
      </w:sdtContent>
    </w:sdt>
    <w:p w14:paraId="30E6A04D" w14:textId="77777777" w:rsidR="00C03C47" w:rsidRDefault="00000000">
      <w:pPr>
        <w:pStyle w:val="Titre1"/>
      </w:pPr>
      <w:bookmarkStart w:id="0" w:name="introduction"/>
      <w:bookmarkStart w:id="1" w:name="_Toc227451615"/>
      <w:r>
        <w:t>Introduction</w:t>
      </w:r>
      <w:bookmarkEnd w:id="1"/>
    </w:p>
    <w:p w14:paraId="1AA06A30" w14:textId="77777777" w:rsidR="00C03C47" w:rsidRDefault="00000000">
      <w:pPr>
        <w:pStyle w:val="FirstParagraph"/>
      </w:pPr>
      <w:r>
        <w:t>L’agriculture constitue le pilier de l’economie nigeriane, employant une large part de la population active et assurant la securite alimentaire de millions de menages. La presente analyse s’appuie sur les donnees de l’enquete General Household Survey Panel (GHSP) Wave 4 (2018/19) conduite par le Bureau National des Statistiques du Nigeria en partenariat avec la Banque Mondiale. A travers une approche statistique rigoureuse integrant les poids de sondage, ce rapport examine les cultures les plus pratiquees, la diversification agricole des menages, les taux d’utilisation des engrais selon le milieu de residence et l’Etat, ainsi que la relation entre l’utilisation d’intrants et les rendements agricoles pour les deux cultures cerealieres majeures que sont le mais et le millet.</w:t>
      </w:r>
    </w:p>
    <w:p w14:paraId="17168077" w14:textId="77777777" w:rsidR="00C03C47" w:rsidRDefault="00000000">
      <w:pPr>
        <w:pStyle w:val="Titre1"/>
      </w:pPr>
      <w:bookmarkStart w:id="2" w:name="Xb196e6d6f298ed3dc772a5c2fe93ef3a8724673"/>
      <w:bookmarkStart w:id="3" w:name="_Toc227451616"/>
      <w:bookmarkEnd w:id="0"/>
      <w:r>
        <w:lastRenderedPageBreak/>
        <w:t>1. Liste des 15 cultures les plus frequentes dans les menages</w:t>
      </w:r>
      <w:bookmarkEnd w:id="3"/>
    </w:p>
    <w:p w14:paraId="554B2494" w14:textId="77777777" w:rsidR="00C03C47" w:rsidRDefault="00000000">
      <w:pPr>
        <w:pStyle w:val="FirstParagraph"/>
      </w:pPr>
      <w:r>
        <w:t xml:space="preserve">Le systeme agricole nigerien tel que revele par l’enquete GHSP Wave 4 (2018/19) est largement domine par les cereales et les tubercules, avec le </w:t>
      </w:r>
      <w:r>
        <w:rPr>
          <w:i/>
          <w:iCs/>
        </w:rPr>
        <w:t>mais</w:t>
      </w:r>
      <w:r>
        <w:t xml:space="preserve"> en tete (50.6% des menages) suivi du </w:t>
      </w:r>
      <w:r>
        <w:rPr>
          <w:i/>
          <w:iCs/>
        </w:rPr>
        <w:t>manioc</w:t>
      </w:r>
      <w:r>
        <w:t xml:space="preserve"> (47.1%), du </w:t>
      </w:r>
      <w:r>
        <w:rPr>
          <w:i/>
          <w:iCs/>
        </w:rPr>
        <w:t>sorgho</w:t>
      </w:r>
      <w:r>
        <w:t xml:space="preserve"> (30.1%) et de l’</w:t>
      </w:r>
      <w:r>
        <w:rPr>
          <w:i/>
          <w:iCs/>
        </w:rPr>
        <w:t>igname blanche</w:t>
      </w:r>
      <w:r>
        <w:t xml:space="preserve"> (21.8%), ces quatre cultures constituant le socle alimentaire des menages ruraux et urbains du pays. On observe une rupture nette entre ce groupe de tete et les cultures suivantes, toutes en dessous de 22%, parmi lesquelles les legumineuses et oleagineux occupent une place non negligeable. En revanche, les cultures maraicheres restent tres marginales, ce qui suggere une orientation encore faible vers le maraichage malgre son potentiel commercial.</w:t>
      </w:r>
    </w:p>
    <w:p w14:paraId="3EC72951" w14:textId="77777777" w:rsidR="00C03C47" w:rsidRDefault="00000000">
      <w:pPr>
        <w:pStyle w:val="Corpsdetexte"/>
      </w:pPr>
      <w:r>
        <w:rPr>
          <w:noProof/>
        </w:rPr>
        <w:drawing>
          <wp:inline distT="0" distB="0" distL="0" distR="0" wp14:anchorId="41690FD3" wp14:editId="7690F35B">
            <wp:extent cx="5334000" cy="3200400"/>
            <wp:effectExtent l="0" t="0" r="0" b="0"/>
            <wp:docPr id="22" name="Picture"/>
            <wp:cNvGraphicFramePr/>
            <a:graphic xmlns:a="http://schemas.openxmlformats.org/drawingml/2006/main">
              <a:graphicData uri="http://schemas.openxmlformats.org/drawingml/2006/picture">
                <pic:pic xmlns:pic="http://schemas.openxmlformats.org/drawingml/2006/picture">
                  <pic:nvPicPr>
                    <pic:cNvPr id="23" name="Picture" descr="Rapport_TP5_Word_files/figure-docx/Top15_cultures-1.png"/>
                    <pic:cNvPicPr>
                      <a:picLocks noChangeAspect="1" noChangeArrowheads="1"/>
                    </pic:cNvPicPr>
                  </pic:nvPicPr>
                  <pic:blipFill>
                    <a:blip r:embed="rId5"/>
                    <a:stretch>
                      <a:fillRect/>
                    </a:stretch>
                  </pic:blipFill>
                  <pic:spPr bwMode="auto">
                    <a:xfrm>
                      <a:off x="0" y="0"/>
                      <a:ext cx="5334000" cy="3200400"/>
                    </a:xfrm>
                    <a:prstGeom prst="rect">
                      <a:avLst/>
                    </a:prstGeom>
                    <a:noFill/>
                    <a:ln w="9525">
                      <a:noFill/>
                      <a:headEnd/>
                      <a:tailEnd/>
                    </a:ln>
                  </pic:spPr>
                </pic:pic>
              </a:graphicData>
            </a:graphic>
          </wp:inline>
        </w:drawing>
      </w:r>
    </w:p>
    <w:p w14:paraId="7988E350" w14:textId="77777777" w:rsidR="00C03C47" w:rsidRDefault="00000000">
      <w:pPr>
        <w:pStyle w:val="Titre1"/>
      </w:pPr>
      <w:bookmarkStart w:id="4" w:name="X1b6b97959a69508551dce664f17e330f657f987"/>
      <w:bookmarkStart w:id="5" w:name="_Toc227451617"/>
      <w:bookmarkEnd w:id="2"/>
      <w:r>
        <w:t>2. Indice de diversification culturale et comparaison urbain vs rural</w:t>
      </w:r>
      <w:bookmarkEnd w:id="5"/>
    </w:p>
    <w:p w14:paraId="13855A91" w14:textId="77777777" w:rsidR="00C03C47" w:rsidRDefault="00000000">
      <w:pPr>
        <w:pStyle w:val="Titre2"/>
      </w:pPr>
      <w:bookmarkStart w:id="6" w:name="X9c549bd2a316a367d859b2ce4dc4a7cee6ada86"/>
      <w:bookmarkStart w:id="7" w:name="_Toc227451618"/>
      <w:r>
        <w:t>2.1 Distribution du nombre de cultures par menage</w:t>
      </w:r>
      <w:bookmarkEnd w:id="7"/>
    </w:p>
    <w:p w14:paraId="7DF032BB" w14:textId="77777777" w:rsidR="00C03C47" w:rsidRDefault="00000000">
      <w:pPr>
        <w:pStyle w:val="FirstParagraph"/>
      </w:pPr>
      <w:r>
        <w:t>La distribution du nombre de cultures par menage au Nigeria (GHSP Wave 4, 2018/19) presente une forme asymetrique a droite, avec une concentration marquee sur les faibles valeurs de diversification. La grande majorite des menages cultivent entre 1 et 4 cultures. La moyenne ponderee confirme une diversification moderee, mais la distribution revele que cette moyenne masque une forte heterogeneite : au-dela de 5 cultures, les effectifs chutent drastiquement.</w:t>
      </w:r>
    </w:p>
    <w:p w14:paraId="02D729C5" w14:textId="77777777" w:rsidR="00C03C47" w:rsidRDefault="00000000">
      <w:pPr>
        <w:pStyle w:val="Corpsdetexte"/>
      </w:pPr>
      <w:r>
        <w:rPr>
          <w:noProof/>
        </w:rPr>
        <w:lastRenderedPageBreak/>
        <w:drawing>
          <wp:inline distT="0" distB="0" distL="0" distR="0" wp14:anchorId="31D4E4DE" wp14:editId="4F5CE766">
            <wp:extent cx="5334000" cy="3200400"/>
            <wp:effectExtent l="0" t="0" r="0" b="0"/>
            <wp:docPr id="26" name="Picture"/>
            <wp:cNvGraphicFramePr/>
            <a:graphic xmlns:a="http://schemas.openxmlformats.org/drawingml/2006/main">
              <a:graphicData uri="http://schemas.openxmlformats.org/drawingml/2006/picture">
                <pic:pic xmlns:pic="http://schemas.openxmlformats.org/drawingml/2006/picture">
                  <pic:nvPicPr>
                    <pic:cNvPr id="27" name="Picture" descr="Rapport_TP5_Word_files/figure-docx/Distribution_nb_cultures-1.png"/>
                    <pic:cNvPicPr>
                      <a:picLocks noChangeAspect="1" noChangeArrowheads="1"/>
                    </pic:cNvPicPr>
                  </pic:nvPicPr>
                  <pic:blipFill>
                    <a:blip r:embed="rId6"/>
                    <a:stretch>
                      <a:fillRect/>
                    </a:stretch>
                  </pic:blipFill>
                  <pic:spPr bwMode="auto">
                    <a:xfrm>
                      <a:off x="0" y="0"/>
                      <a:ext cx="5334000" cy="3200400"/>
                    </a:xfrm>
                    <a:prstGeom prst="rect">
                      <a:avLst/>
                    </a:prstGeom>
                    <a:noFill/>
                    <a:ln w="9525">
                      <a:noFill/>
                      <a:headEnd/>
                      <a:tailEnd/>
                    </a:ln>
                  </pic:spPr>
                </pic:pic>
              </a:graphicData>
            </a:graphic>
          </wp:inline>
        </w:drawing>
      </w:r>
    </w:p>
    <w:p w14:paraId="136A2B88" w14:textId="77777777" w:rsidR="00C03C47" w:rsidRDefault="00000000">
      <w:pPr>
        <w:pStyle w:val="Titre2"/>
      </w:pPr>
      <w:bookmarkStart w:id="8" w:name="test-de-wilcoxon"/>
      <w:bookmarkStart w:id="9" w:name="_Toc227451619"/>
      <w:bookmarkEnd w:id="6"/>
      <w:r>
        <w:t>2.2 Test de Wilcoxon</w:t>
      </w:r>
      <w:bookmarkEnd w:id="9"/>
    </w:p>
    <w:p w14:paraId="6B14C664" w14:textId="77777777" w:rsidR="00C03C47" w:rsidRDefault="00000000">
      <w:pPr>
        <w:pStyle w:val="FirstParagraph"/>
      </w:pPr>
      <w:r>
        <w:t>Apres avoir verifie la normalite avec le test de Shapiro, le test de Wilcoxon-Mann-Whitney revele une difference significative entre milieux urbain et rural concernant la diversification culturale (</w:t>
      </w:r>
      <w:r>
        <w:rPr>
          <w:i/>
          <w:iCs/>
        </w:rPr>
        <w:t>p &lt; 0.001</w:t>
      </w:r>
      <w:r>
        <w:t>) comme le montre le tableau ci-dessous.</w:t>
      </w:r>
    </w:p>
    <w:p w14:paraId="170BCDD6" w14:textId="77777777" w:rsidR="00C03C47" w:rsidRDefault="00000000">
      <w:pPr>
        <w:pStyle w:val="TableCaption"/>
        <w:pBdr>
          <w:top w:val="none" w:sz="0" w:space="0" w:color="000000"/>
          <w:left w:val="none" w:sz="0" w:space="0" w:color="000000"/>
          <w:bottom w:val="none" w:sz="0" w:space="0" w:color="000000"/>
          <w:right w:val="none" w:sz="0" w:space="0" w:color="000000"/>
        </w:pBdr>
        <w:spacing w:before="60" w:after="60"/>
        <w:ind w:left="60" w:right="60"/>
        <w:jc w:val="center"/>
      </w:pPr>
      <w:r>
        <w:t>**Test de Wilcoxon : comparaison urbain vs rural**</w:t>
      </w:r>
    </w:p>
    <w:tbl>
      <w:tblPr>
        <w:tblStyle w:val="Table"/>
        <w:tblW w:w="0" w:type="auto"/>
        <w:jc w:val="center"/>
        <w:tblLayout w:type="fixed"/>
        <w:tblLook w:val="0420" w:firstRow="1" w:lastRow="0" w:firstColumn="0" w:lastColumn="0" w:noHBand="0" w:noVBand="1"/>
      </w:tblPr>
      <w:tblGrid>
        <w:gridCol w:w="2330"/>
        <w:gridCol w:w="2074"/>
        <w:gridCol w:w="2074"/>
        <w:gridCol w:w="2074"/>
        <w:gridCol w:w="1181"/>
      </w:tblGrid>
      <w:tr w:rsidR="00C03C47" w14:paraId="26C94968" w14:textId="77777777" w:rsidTr="00C03C47">
        <w:trPr>
          <w:cnfStyle w:val="100000000000" w:firstRow="1" w:lastRow="0" w:firstColumn="0" w:lastColumn="0" w:oddVBand="0" w:evenVBand="0" w:oddHBand="0" w:evenHBand="0" w:firstRowFirstColumn="0" w:firstRowLastColumn="0" w:lastRowFirstColumn="0" w:lastRowLastColumn="0"/>
          <w:tblHeader/>
          <w:jc w:val="center"/>
        </w:trPr>
        <w:tc>
          <w:tcPr>
            <w:tcW w:w="2330"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3AE4469C" w14:textId="77777777" w:rsidR="00C03C47" w:rsidRDefault="00000000">
            <w:pPr>
              <w:pBdr>
                <w:top w:val="none" w:sz="0" w:space="0" w:color="000000"/>
                <w:left w:val="none" w:sz="0" w:space="0" w:color="000000"/>
                <w:bottom w:val="none" w:sz="0" w:space="0" w:color="000000"/>
                <w:right w:val="none" w:sz="0" w:space="0" w:color="000000"/>
              </w:pBdr>
              <w:spacing w:before="40" w:after="40"/>
              <w:ind w:left="100" w:right="100"/>
              <w:rPr>
                <w:rFonts w:ascii="Arial" w:eastAsia="Arial" w:hAnsi="Arial" w:cs="Arial"/>
                <w:color w:val="000000"/>
                <w:sz w:val="22"/>
                <w:szCs w:val="22"/>
              </w:rPr>
            </w:pPr>
            <w:r>
              <w:rPr>
                <w:rFonts w:ascii="Arial" w:eastAsia="Arial" w:hAnsi="Arial" w:cs="Arial"/>
                <w:color w:val="000000"/>
                <w:sz w:val="22"/>
                <w:szCs w:val="22"/>
              </w:rPr>
              <w:t xml:space="preserve"> </w:t>
            </w:r>
          </w:p>
        </w:tc>
        <w:tc>
          <w:tcPr>
            <w:tcW w:w="6222" w:type="dxa"/>
            <w:gridSpan w:val="3"/>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6275AD88" w14:textId="77777777" w:rsidR="00C03C47"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Arial" w:eastAsia="Arial" w:hAnsi="Arial" w:cs="Arial"/>
                <w:color w:val="000000"/>
                <w:sz w:val="22"/>
                <w:szCs w:val="22"/>
              </w:rPr>
            </w:pPr>
            <w:r>
              <w:rPr>
                <w:rFonts w:ascii="Arial" w:eastAsia="Arial" w:hAnsi="Arial" w:cs="Arial"/>
                <w:b/>
                <w:color w:val="000000"/>
                <w:sz w:val="22"/>
                <w:szCs w:val="22"/>
              </w:rPr>
              <w:t>Milieu de residence</w:t>
            </w:r>
          </w:p>
        </w:tc>
        <w:tc>
          <w:tcPr>
            <w:tcW w:w="118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578F1299" w14:textId="77777777" w:rsidR="00C03C47"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Arial" w:eastAsia="Arial" w:hAnsi="Arial" w:cs="Arial"/>
                <w:color w:val="000000"/>
                <w:sz w:val="22"/>
                <w:szCs w:val="22"/>
              </w:rPr>
            </w:pPr>
            <w:r>
              <w:rPr>
                <w:rFonts w:ascii="Arial" w:eastAsia="Arial" w:hAnsi="Arial" w:cs="Arial"/>
                <w:color w:val="000000"/>
                <w:sz w:val="22"/>
                <w:szCs w:val="22"/>
              </w:rPr>
              <w:t xml:space="preserve"> </w:t>
            </w:r>
          </w:p>
        </w:tc>
      </w:tr>
      <w:tr w:rsidR="00C03C47" w14:paraId="73136B43" w14:textId="77777777" w:rsidTr="00C03C47">
        <w:trPr>
          <w:cnfStyle w:val="100000000000" w:firstRow="1" w:lastRow="0" w:firstColumn="0" w:lastColumn="0" w:oddVBand="0" w:evenVBand="0" w:oddHBand="0" w:evenHBand="0" w:firstRowFirstColumn="0" w:firstRowLastColumn="0" w:lastRowFirstColumn="0" w:lastRowLastColumn="0"/>
          <w:tblHeader/>
          <w:jc w:val="center"/>
        </w:trPr>
        <w:tc>
          <w:tcPr>
            <w:tcW w:w="2330"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1311DBBF" w14:textId="77777777" w:rsidR="00C03C47" w:rsidRDefault="00000000">
            <w:pPr>
              <w:pBdr>
                <w:top w:val="none" w:sz="0" w:space="0" w:color="000000"/>
                <w:left w:val="none" w:sz="0" w:space="0" w:color="000000"/>
                <w:bottom w:val="none" w:sz="0" w:space="0" w:color="000000"/>
                <w:right w:val="none" w:sz="0" w:space="0" w:color="000000"/>
              </w:pBdr>
              <w:spacing w:before="40" w:after="40"/>
              <w:ind w:left="100" w:right="100"/>
              <w:rPr>
                <w:rFonts w:ascii="Arial" w:eastAsia="Arial" w:hAnsi="Arial" w:cs="Arial"/>
                <w:color w:val="000000"/>
                <w:sz w:val="22"/>
                <w:szCs w:val="22"/>
              </w:rPr>
            </w:pPr>
            <w:r>
              <w:rPr>
                <w:rFonts w:ascii="Arial" w:eastAsia="Arial" w:hAnsi="Arial" w:cs="Arial"/>
                <w:b/>
                <w:color w:val="000000"/>
                <w:sz w:val="22"/>
                <w:szCs w:val="22"/>
              </w:rPr>
              <w:t>Variable</w:t>
            </w:r>
          </w:p>
        </w:tc>
        <w:tc>
          <w:tcPr>
            <w:tcW w:w="2074"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2F27F45F" w14:textId="77777777" w:rsidR="00C03C47"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Arial" w:eastAsia="Arial" w:hAnsi="Arial" w:cs="Arial"/>
                <w:color w:val="000000"/>
                <w:sz w:val="22"/>
                <w:szCs w:val="22"/>
              </w:rPr>
            </w:pPr>
            <w:r>
              <w:rPr>
                <w:rFonts w:ascii="Arial" w:eastAsia="Arial" w:hAnsi="Arial" w:cs="Arial"/>
                <w:b/>
                <w:color w:val="000000"/>
                <w:sz w:val="22"/>
                <w:szCs w:val="22"/>
              </w:rPr>
              <w:t>N Total</w:t>
            </w:r>
            <w:r>
              <w:rPr>
                <w:rFonts w:ascii="Arial" w:eastAsia="Arial" w:hAnsi="Arial" w:cs="Arial"/>
                <w:color w:val="000000"/>
                <w:sz w:val="22"/>
                <w:szCs w:val="22"/>
                <w:vertAlign w:val="superscript"/>
              </w:rPr>
              <w:t>1</w:t>
            </w:r>
          </w:p>
        </w:tc>
        <w:tc>
          <w:tcPr>
            <w:tcW w:w="2074"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2AD6AD04" w14:textId="77777777" w:rsidR="00C03C47"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Arial" w:eastAsia="Arial" w:hAnsi="Arial" w:cs="Arial"/>
                <w:color w:val="000000"/>
                <w:sz w:val="22"/>
                <w:szCs w:val="22"/>
              </w:rPr>
            </w:pPr>
            <w:r>
              <w:rPr>
                <w:rFonts w:ascii="Arial" w:eastAsia="Arial" w:hAnsi="Arial" w:cs="Arial"/>
                <w:b/>
                <w:color w:val="000000"/>
                <w:sz w:val="22"/>
                <w:szCs w:val="22"/>
              </w:rPr>
              <w:t>Rural</w:t>
            </w:r>
            <w:r>
              <w:rPr>
                <w:rFonts w:ascii="Arial" w:eastAsia="Arial" w:hAnsi="Arial" w:cs="Arial"/>
                <w:color w:val="000000"/>
                <w:sz w:val="22"/>
                <w:szCs w:val="22"/>
              </w:rPr>
              <w:t xml:space="preserve">  </w:t>
            </w:r>
            <w:r>
              <w:rPr>
                <w:rFonts w:ascii="Arial" w:eastAsia="Arial" w:hAnsi="Arial" w:cs="Arial"/>
                <w:color w:val="000000"/>
                <w:sz w:val="22"/>
                <w:szCs w:val="22"/>
              </w:rPr>
              <w:br/>
              <w:t>N = 2874</w:t>
            </w:r>
            <w:r>
              <w:rPr>
                <w:rFonts w:ascii="Arial" w:eastAsia="Arial" w:hAnsi="Arial" w:cs="Arial"/>
                <w:color w:val="000000"/>
                <w:sz w:val="22"/>
                <w:szCs w:val="22"/>
                <w:vertAlign w:val="superscript"/>
              </w:rPr>
              <w:t>2</w:t>
            </w:r>
          </w:p>
        </w:tc>
        <w:tc>
          <w:tcPr>
            <w:tcW w:w="2074"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08B83764" w14:textId="77777777" w:rsidR="00C03C47"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Arial" w:eastAsia="Arial" w:hAnsi="Arial" w:cs="Arial"/>
                <w:color w:val="000000"/>
                <w:sz w:val="22"/>
                <w:szCs w:val="22"/>
              </w:rPr>
            </w:pPr>
            <w:r>
              <w:rPr>
                <w:rFonts w:ascii="Arial" w:eastAsia="Arial" w:hAnsi="Arial" w:cs="Arial"/>
                <w:b/>
                <w:color w:val="000000"/>
                <w:sz w:val="22"/>
                <w:szCs w:val="22"/>
              </w:rPr>
              <w:t>Urbain</w:t>
            </w:r>
            <w:r>
              <w:rPr>
                <w:rFonts w:ascii="Arial" w:eastAsia="Arial" w:hAnsi="Arial" w:cs="Arial"/>
                <w:color w:val="000000"/>
                <w:sz w:val="22"/>
                <w:szCs w:val="22"/>
              </w:rPr>
              <w:t xml:space="preserve">  </w:t>
            </w:r>
            <w:r>
              <w:rPr>
                <w:rFonts w:ascii="Arial" w:eastAsia="Arial" w:hAnsi="Arial" w:cs="Arial"/>
                <w:color w:val="000000"/>
                <w:sz w:val="22"/>
                <w:szCs w:val="22"/>
              </w:rPr>
              <w:br/>
              <w:t>N = 536</w:t>
            </w:r>
            <w:r>
              <w:rPr>
                <w:rFonts w:ascii="Arial" w:eastAsia="Arial" w:hAnsi="Arial" w:cs="Arial"/>
                <w:color w:val="000000"/>
                <w:sz w:val="22"/>
                <w:szCs w:val="22"/>
                <w:vertAlign w:val="superscript"/>
              </w:rPr>
              <w:t>2</w:t>
            </w:r>
          </w:p>
        </w:tc>
        <w:tc>
          <w:tcPr>
            <w:tcW w:w="118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1E31AF01" w14:textId="77777777" w:rsidR="00C03C47"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Arial" w:eastAsia="Arial" w:hAnsi="Arial" w:cs="Arial"/>
                <w:color w:val="000000"/>
                <w:sz w:val="22"/>
                <w:szCs w:val="22"/>
              </w:rPr>
            </w:pPr>
            <w:r>
              <w:rPr>
                <w:rFonts w:ascii="Arial" w:eastAsia="Arial" w:hAnsi="Arial" w:cs="Arial"/>
                <w:b/>
                <w:color w:val="000000"/>
                <w:sz w:val="22"/>
                <w:szCs w:val="22"/>
              </w:rPr>
              <w:t>p-value</w:t>
            </w:r>
            <w:r>
              <w:rPr>
                <w:rFonts w:ascii="Arial" w:eastAsia="Arial" w:hAnsi="Arial" w:cs="Arial"/>
                <w:color w:val="000000"/>
                <w:sz w:val="22"/>
                <w:szCs w:val="22"/>
                <w:vertAlign w:val="superscript"/>
              </w:rPr>
              <w:t>3</w:t>
            </w:r>
          </w:p>
        </w:tc>
      </w:tr>
      <w:tr w:rsidR="00C03C47" w14:paraId="7EC76D83" w14:textId="77777777" w:rsidTr="00C03C47">
        <w:trPr>
          <w:jc w:val="center"/>
        </w:trPr>
        <w:tc>
          <w:tcPr>
            <w:tcW w:w="2330"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4B06E87E" w14:textId="77777777" w:rsidR="00C03C47"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22"/>
                <w:szCs w:val="22"/>
              </w:rPr>
            </w:pPr>
            <w:r>
              <w:rPr>
                <w:rFonts w:ascii="Arial" w:eastAsia="Arial" w:hAnsi="Arial" w:cs="Arial"/>
                <w:b/>
                <w:color w:val="000000"/>
                <w:sz w:val="22"/>
                <w:szCs w:val="22"/>
              </w:rPr>
              <w:t>Nombre de cultures</w:t>
            </w:r>
          </w:p>
        </w:tc>
        <w:tc>
          <w:tcPr>
            <w:tcW w:w="2074"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63120D0D" w14:textId="77777777" w:rsidR="00C03C4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3.00 [2.00 - 4.00]</w:t>
            </w:r>
          </w:p>
        </w:tc>
        <w:tc>
          <w:tcPr>
            <w:tcW w:w="2074"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468B9F69" w14:textId="77777777" w:rsidR="00C03C4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3.00 [2.00 - 4.00]</w:t>
            </w:r>
          </w:p>
        </w:tc>
        <w:tc>
          <w:tcPr>
            <w:tcW w:w="2074"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756F6A5D" w14:textId="77777777" w:rsidR="00C03C4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2.00 [2.00 - 3.00]</w:t>
            </w:r>
          </w:p>
        </w:tc>
        <w:tc>
          <w:tcPr>
            <w:tcW w:w="118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4E506F37" w14:textId="77777777" w:rsidR="00C03C4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&lt;0.001</w:t>
            </w:r>
          </w:p>
        </w:tc>
      </w:tr>
      <w:tr w:rsidR="00C03C47" w14:paraId="68D959F8" w14:textId="77777777" w:rsidTr="00C03C47">
        <w:trPr>
          <w:jc w:val="center"/>
        </w:trPr>
        <w:tc>
          <w:tcPr>
            <w:tcW w:w="9733" w:type="dxa"/>
            <w:gridSpan w:val="5"/>
            <w:tcBorders>
              <w:top w:val="single" w:sz="8" w:space="0" w:color="000000"/>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43C1474E" w14:textId="77777777" w:rsidR="00C03C47"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vertAlign w:val="superscript"/>
              </w:rPr>
              <w:t>1</w:t>
            </w:r>
            <w:r>
              <w:rPr>
                <w:rFonts w:ascii="Arial" w:eastAsia="Arial" w:hAnsi="Arial" w:cs="Arial"/>
                <w:color w:val="000000"/>
                <w:sz w:val="22"/>
                <w:szCs w:val="22"/>
              </w:rPr>
              <w:t>3410</w:t>
            </w:r>
          </w:p>
        </w:tc>
      </w:tr>
      <w:tr w:rsidR="00C03C47" w14:paraId="1B881F36" w14:textId="77777777" w:rsidTr="00C03C47">
        <w:trPr>
          <w:jc w:val="center"/>
        </w:trPr>
        <w:tc>
          <w:tcPr>
            <w:tcW w:w="9733" w:type="dxa"/>
            <w:gridSpan w:val="5"/>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755D68BD" w14:textId="77777777" w:rsidR="00C03C47"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vertAlign w:val="superscript"/>
              </w:rPr>
              <w:t>2</w:t>
            </w:r>
            <w:r>
              <w:rPr>
                <w:rFonts w:ascii="Arial" w:eastAsia="Arial" w:hAnsi="Arial" w:cs="Arial"/>
                <w:color w:val="000000"/>
                <w:sz w:val="22"/>
                <w:szCs w:val="22"/>
              </w:rPr>
              <w:t>Mediane [Q1 - Q3]</w:t>
            </w:r>
          </w:p>
        </w:tc>
      </w:tr>
      <w:tr w:rsidR="00C03C47" w14:paraId="4760AAEC" w14:textId="77777777" w:rsidTr="00C03C47">
        <w:trPr>
          <w:jc w:val="center"/>
        </w:trPr>
        <w:tc>
          <w:tcPr>
            <w:tcW w:w="9733" w:type="dxa"/>
            <w:gridSpan w:val="5"/>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0221A88" w14:textId="77777777" w:rsidR="00C03C47"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vertAlign w:val="superscript"/>
              </w:rPr>
              <w:t>3</w:t>
            </w:r>
            <w:r>
              <w:rPr>
                <w:rFonts w:ascii="Arial" w:eastAsia="Arial" w:hAnsi="Arial" w:cs="Arial"/>
                <w:color w:val="000000"/>
                <w:sz w:val="22"/>
                <w:szCs w:val="22"/>
              </w:rPr>
              <w:t>Test de Wilcoxon-Mann-Whitney (non parametrique)</w:t>
            </w:r>
          </w:p>
        </w:tc>
      </w:tr>
    </w:tbl>
    <w:p w14:paraId="6289FF91" w14:textId="77777777" w:rsidR="00C03C47" w:rsidRDefault="00000000">
      <w:pPr>
        <w:pStyle w:val="Titre2"/>
      </w:pPr>
      <w:bookmarkStart w:id="10" w:name="violin-plot"/>
      <w:bookmarkStart w:id="11" w:name="_Toc227451620"/>
      <w:bookmarkEnd w:id="8"/>
      <w:r>
        <w:t>2.3 Violin plot</w:t>
      </w:r>
      <w:bookmarkEnd w:id="11"/>
    </w:p>
    <w:p w14:paraId="631E43BA" w14:textId="77777777" w:rsidR="00C03C47" w:rsidRDefault="00000000">
      <w:pPr>
        <w:pStyle w:val="FirstParagraph"/>
      </w:pPr>
      <w:r>
        <w:t>Ce resultat est bien mieux mis en evidence avec le violin plot. Les menages ruraux presentent une diversification legerement plus elevee, avec une moyenne et une mediane autour de 3 cultures, et une distribution plus etalee vers les valeurs elevees. Les menages urbains, en revanche, se concentrent davantage sur 1 a 2 cultures.</w:t>
      </w:r>
    </w:p>
    <w:p w14:paraId="1B191F8C" w14:textId="77777777" w:rsidR="00C03C47" w:rsidRDefault="00000000">
      <w:pPr>
        <w:pStyle w:val="Corpsdetexte"/>
      </w:pPr>
      <w:r>
        <w:rPr>
          <w:noProof/>
        </w:rPr>
        <w:lastRenderedPageBreak/>
        <w:drawing>
          <wp:inline distT="0" distB="0" distL="0" distR="0" wp14:anchorId="3A260A39" wp14:editId="60630233">
            <wp:extent cx="5334000" cy="3200400"/>
            <wp:effectExtent l="0" t="0" r="0" b="0"/>
            <wp:docPr id="31" name="Picture"/>
            <wp:cNvGraphicFramePr/>
            <a:graphic xmlns:a="http://schemas.openxmlformats.org/drawingml/2006/main">
              <a:graphicData uri="http://schemas.openxmlformats.org/drawingml/2006/picture">
                <pic:pic xmlns:pic="http://schemas.openxmlformats.org/drawingml/2006/picture">
                  <pic:nvPicPr>
                    <pic:cNvPr id="32" name="Picture" descr="Rapport_TP5_Word_files/figure-docx/Violin_Plot-1.png"/>
                    <pic:cNvPicPr>
                      <a:picLocks noChangeAspect="1" noChangeArrowheads="1"/>
                    </pic:cNvPicPr>
                  </pic:nvPicPr>
                  <pic:blipFill>
                    <a:blip r:embed="rId7"/>
                    <a:stretch>
                      <a:fillRect/>
                    </a:stretch>
                  </pic:blipFill>
                  <pic:spPr bwMode="auto">
                    <a:xfrm>
                      <a:off x="0" y="0"/>
                      <a:ext cx="5334000" cy="3200400"/>
                    </a:xfrm>
                    <a:prstGeom prst="rect">
                      <a:avLst/>
                    </a:prstGeom>
                    <a:noFill/>
                    <a:ln w="9525">
                      <a:noFill/>
                      <a:headEnd/>
                      <a:tailEnd/>
                    </a:ln>
                  </pic:spPr>
                </pic:pic>
              </a:graphicData>
            </a:graphic>
          </wp:inline>
        </w:drawing>
      </w:r>
    </w:p>
    <w:p w14:paraId="2DDC03B2" w14:textId="77777777" w:rsidR="00C03C47" w:rsidRDefault="00000000">
      <w:pPr>
        <w:pStyle w:val="Titre1"/>
      </w:pPr>
      <w:bookmarkStart w:id="12" w:name="X704e67fd827fd2046616586c75a8fabc4295c7f"/>
      <w:bookmarkStart w:id="13" w:name="_Toc227451621"/>
      <w:bookmarkEnd w:id="4"/>
      <w:bookmarkEnd w:id="10"/>
      <w:r>
        <w:t>3. Utilisation des engrais par type et par milieu</w:t>
      </w:r>
      <w:bookmarkEnd w:id="13"/>
    </w:p>
    <w:p w14:paraId="6C86823A" w14:textId="77777777" w:rsidR="00C03C47" w:rsidRDefault="00000000">
      <w:pPr>
        <w:pStyle w:val="Titre2"/>
      </w:pPr>
      <w:bookmarkStart w:id="14" w:name="barplot-groupe-par-milieu-de-residence"/>
      <w:bookmarkStart w:id="15" w:name="_Toc227451622"/>
      <w:r>
        <w:t>3.1 Barplot groupe par milieu de residence</w:t>
      </w:r>
      <w:bookmarkEnd w:id="15"/>
    </w:p>
    <w:p w14:paraId="7F3EDE9B" w14:textId="77777777" w:rsidR="00C03C47" w:rsidRDefault="00000000">
      <w:pPr>
        <w:pStyle w:val="FirstParagraph"/>
      </w:pPr>
      <w:r>
        <w:t>Le graphique revele un contraste saisissant dans l’utilisation des engrais entre les menages ruraux et urbains au Nigeria. En milieu rural, le recours aux engrais est nettement plus repandu, avec l’engrais chimique en tete (41.6%), suivi du NPK (31.4%), de l’organique (25.9%) et de l’uree (21.5%). En milieu urbain, les taux d’utilisation sont tres faibles pour tous les types d’engrais, oscillant entre 2.1% pour l’organique et 5.8% pour le chimique.</w:t>
      </w:r>
    </w:p>
    <w:p w14:paraId="29EEE41C" w14:textId="77777777" w:rsidR="00C03C47" w:rsidRDefault="00000000">
      <w:pPr>
        <w:pStyle w:val="Corpsdetexte"/>
      </w:pPr>
      <w:r>
        <w:rPr>
          <w:noProof/>
        </w:rPr>
        <w:lastRenderedPageBreak/>
        <w:drawing>
          <wp:inline distT="0" distB="0" distL="0" distR="0" wp14:anchorId="51584208" wp14:editId="41EA0F23">
            <wp:extent cx="5334000" cy="3200400"/>
            <wp:effectExtent l="0" t="0" r="0" b="0"/>
            <wp:docPr id="36" name="Picture"/>
            <wp:cNvGraphicFramePr/>
            <a:graphic xmlns:a="http://schemas.openxmlformats.org/drawingml/2006/main">
              <a:graphicData uri="http://schemas.openxmlformats.org/drawingml/2006/picture">
                <pic:pic xmlns:pic="http://schemas.openxmlformats.org/drawingml/2006/picture">
                  <pic:nvPicPr>
                    <pic:cNvPr id="37" name="Picture" descr="Rapport_TP5_Word_files/figure-docx/Taux_utilisation_engrais-1.png"/>
                    <pic:cNvPicPr>
                      <a:picLocks noChangeAspect="1" noChangeArrowheads="1"/>
                    </pic:cNvPicPr>
                  </pic:nvPicPr>
                  <pic:blipFill>
                    <a:blip r:embed="rId8"/>
                    <a:stretch>
                      <a:fillRect/>
                    </a:stretch>
                  </pic:blipFill>
                  <pic:spPr bwMode="auto">
                    <a:xfrm>
                      <a:off x="0" y="0"/>
                      <a:ext cx="5334000" cy="3200400"/>
                    </a:xfrm>
                    <a:prstGeom prst="rect">
                      <a:avLst/>
                    </a:prstGeom>
                    <a:noFill/>
                    <a:ln w="9525">
                      <a:noFill/>
                      <a:headEnd/>
                      <a:tailEnd/>
                    </a:ln>
                  </pic:spPr>
                </pic:pic>
              </a:graphicData>
            </a:graphic>
          </wp:inline>
        </w:drawing>
      </w:r>
    </w:p>
    <w:p w14:paraId="4CB1CD21" w14:textId="77777777" w:rsidR="00C03C47" w:rsidRDefault="00000000">
      <w:pPr>
        <w:pStyle w:val="Titre2"/>
      </w:pPr>
      <w:bookmarkStart w:id="16" w:name="Xf3b2411c5e9be9fa04e2f400eddc19d60daeec2"/>
      <w:bookmarkStart w:id="17" w:name="_Toc227451623"/>
      <w:bookmarkEnd w:id="14"/>
      <w:r>
        <w:t>3.2 Test de khi-deux entre milieu de residence et type d’engrais</w:t>
      </w:r>
      <w:bookmarkEnd w:id="17"/>
    </w:p>
    <w:p w14:paraId="5C17455A" w14:textId="77777777" w:rsidR="00C03C47" w:rsidRDefault="00000000">
      <w:pPr>
        <w:pStyle w:val="Titre3"/>
      </w:pPr>
      <w:bookmarkStart w:id="18" w:name="tableau-de-contingence"/>
      <w:bookmarkStart w:id="19" w:name="_Toc227451624"/>
      <w:r>
        <w:t>3.2.1 Tableau de contingence</w:t>
      </w:r>
      <w:bookmarkEnd w:id="19"/>
    </w:p>
    <w:p w14:paraId="03CC69C9" w14:textId="77777777" w:rsidR="00C03C47" w:rsidRDefault="00000000">
      <w:pPr>
        <w:pStyle w:val="TableCaption"/>
        <w:pBdr>
          <w:top w:val="none" w:sz="0" w:space="0" w:color="000000"/>
          <w:left w:val="none" w:sz="0" w:space="0" w:color="000000"/>
          <w:bottom w:val="none" w:sz="0" w:space="0" w:color="000000"/>
          <w:right w:val="none" w:sz="0" w:space="0" w:color="000000"/>
        </w:pBdr>
        <w:spacing w:before="60" w:after="60"/>
        <w:ind w:left="60" w:right="60"/>
        <w:jc w:val="center"/>
      </w:pPr>
      <w:r>
        <w:t>Utilisation des engrais par milieu de residence</w:t>
      </w:r>
    </w:p>
    <w:tbl>
      <w:tblPr>
        <w:tblStyle w:val="Table"/>
        <w:tblW w:w="0" w:type="auto"/>
        <w:jc w:val="center"/>
        <w:tblLayout w:type="fixed"/>
        <w:tblLook w:val="0420" w:firstRow="1" w:lastRow="0" w:firstColumn="0" w:lastColumn="0" w:noHBand="0" w:noVBand="1"/>
      </w:tblPr>
      <w:tblGrid>
        <w:gridCol w:w="1059"/>
        <w:gridCol w:w="1413"/>
        <w:gridCol w:w="1389"/>
        <w:gridCol w:w="1389"/>
        <w:gridCol w:w="1511"/>
        <w:gridCol w:w="1512"/>
      </w:tblGrid>
      <w:tr w:rsidR="00C03C47" w14:paraId="3EFE3656" w14:textId="77777777" w:rsidTr="00C03C47">
        <w:trPr>
          <w:cnfStyle w:val="100000000000" w:firstRow="1" w:lastRow="0" w:firstColumn="0" w:lastColumn="0" w:oddVBand="0" w:evenVBand="0" w:oddHBand="0" w:evenHBand="0" w:firstRowFirstColumn="0" w:firstRowLastColumn="0" w:lastRowFirstColumn="0" w:lastRowLastColumn="0"/>
          <w:tblHeader/>
          <w:jc w:val="center"/>
        </w:trPr>
        <w:tc>
          <w:tcPr>
            <w:tcW w:w="1059"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4030090" w14:textId="77777777" w:rsidR="00C03C47"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22"/>
                <w:szCs w:val="22"/>
              </w:rPr>
            </w:pPr>
            <w:r>
              <w:rPr>
                <w:rFonts w:ascii="Arial" w:eastAsia="Arial" w:hAnsi="Arial" w:cs="Arial"/>
                <w:b/>
                <w:color w:val="000000"/>
                <w:sz w:val="22"/>
                <w:szCs w:val="22"/>
              </w:rPr>
              <w:t>Milieu</w:t>
            </w:r>
          </w:p>
        </w:tc>
        <w:tc>
          <w:tcPr>
            <w:tcW w:w="1413"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239652A" w14:textId="77777777" w:rsidR="00C03C47"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b/>
                <w:color w:val="000000"/>
                <w:sz w:val="22"/>
                <w:szCs w:val="22"/>
              </w:rPr>
            </w:pPr>
            <w:r>
              <w:rPr>
                <w:rFonts w:ascii="Arial" w:eastAsia="Arial" w:hAnsi="Arial" w:cs="Arial"/>
                <w:b/>
                <w:color w:val="000000"/>
                <w:sz w:val="22"/>
                <w:szCs w:val="22"/>
              </w:rPr>
              <w:t>Chimique</w:t>
            </w:r>
          </w:p>
        </w:tc>
        <w:tc>
          <w:tcPr>
            <w:tcW w:w="1389"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EEAAF5C" w14:textId="77777777" w:rsidR="00C03C47"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b/>
                <w:color w:val="000000"/>
                <w:sz w:val="22"/>
                <w:szCs w:val="22"/>
              </w:rPr>
            </w:pPr>
            <w:r>
              <w:rPr>
                <w:rFonts w:ascii="Arial" w:eastAsia="Arial" w:hAnsi="Arial" w:cs="Arial"/>
                <w:b/>
                <w:color w:val="000000"/>
                <w:sz w:val="22"/>
                <w:szCs w:val="22"/>
              </w:rPr>
              <w:t>NPK</w:t>
            </w:r>
          </w:p>
        </w:tc>
        <w:tc>
          <w:tcPr>
            <w:tcW w:w="1389"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C56319D" w14:textId="77777777" w:rsidR="00C03C47"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b/>
                <w:color w:val="000000"/>
                <w:sz w:val="22"/>
                <w:szCs w:val="22"/>
              </w:rPr>
            </w:pPr>
            <w:r>
              <w:rPr>
                <w:rFonts w:ascii="Arial" w:eastAsia="Arial" w:hAnsi="Arial" w:cs="Arial"/>
                <w:b/>
                <w:color w:val="000000"/>
                <w:sz w:val="22"/>
                <w:szCs w:val="22"/>
              </w:rPr>
              <w:t>Uree</w:t>
            </w:r>
          </w:p>
        </w:tc>
        <w:tc>
          <w:tcPr>
            <w:tcW w:w="151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1BA4208" w14:textId="77777777" w:rsidR="00C03C47"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b/>
                <w:color w:val="000000"/>
                <w:sz w:val="22"/>
                <w:szCs w:val="22"/>
              </w:rPr>
            </w:pPr>
            <w:r>
              <w:rPr>
                <w:rFonts w:ascii="Arial" w:eastAsia="Arial" w:hAnsi="Arial" w:cs="Arial"/>
                <w:b/>
                <w:color w:val="000000"/>
                <w:sz w:val="22"/>
                <w:szCs w:val="22"/>
              </w:rPr>
              <w:t>Organique</w:t>
            </w:r>
          </w:p>
        </w:tc>
        <w:tc>
          <w:tcPr>
            <w:tcW w:w="151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183F943" w14:textId="77777777" w:rsidR="00C03C47"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b/>
                <w:color w:val="000000"/>
                <w:sz w:val="22"/>
                <w:szCs w:val="22"/>
              </w:rPr>
            </w:pPr>
            <w:r>
              <w:rPr>
                <w:rFonts w:ascii="Arial" w:eastAsia="Arial" w:hAnsi="Arial" w:cs="Arial"/>
                <w:b/>
                <w:color w:val="000000"/>
                <w:sz w:val="22"/>
                <w:szCs w:val="22"/>
              </w:rPr>
              <w:t>Total</w:t>
            </w:r>
          </w:p>
        </w:tc>
      </w:tr>
      <w:tr w:rsidR="00C03C47" w14:paraId="533DFD83" w14:textId="77777777" w:rsidTr="00C03C47">
        <w:trPr>
          <w:jc w:val="center"/>
        </w:trPr>
        <w:tc>
          <w:tcPr>
            <w:tcW w:w="1059"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776785" w14:textId="77777777" w:rsidR="00C03C47"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Urbain</w:t>
            </w:r>
          </w:p>
        </w:tc>
        <w:tc>
          <w:tcPr>
            <w:tcW w:w="1413"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CB3C4C" w14:textId="77777777" w:rsidR="00C03C47"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1,098,636</w:t>
            </w:r>
          </w:p>
        </w:tc>
        <w:tc>
          <w:tcPr>
            <w:tcW w:w="1389"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D5076C" w14:textId="77777777" w:rsidR="00C03C47"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671,305</w:t>
            </w:r>
          </w:p>
        </w:tc>
        <w:tc>
          <w:tcPr>
            <w:tcW w:w="1389"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8AB5F1" w14:textId="77777777" w:rsidR="00C03C47"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454,515</w:t>
            </w:r>
          </w:p>
        </w:tc>
        <w:tc>
          <w:tcPr>
            <w:tcW w:w="151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72B432" w14:textId="77777777" w:rsidR="00C03C47"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404,564</w:t>
            </w:r>
          </w:p>
        </w:tc>
        <w:tc>
          <w:tcPr>
            <w:tcW w:w="151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77AD3E" w14:textId="77777777" w:rsidR="00C03C47"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2,629,020</w:t>
            </w:r>
          </w:p>
        </w:tc>
      </w:tr>
      <w:tr w:rsidR="00C03C47" w14:paraId="78D502E1" w14:textId="77777777" w:rsidTr="00C03C47">
        <w:trPr>
          <w:jc w:val="center"/>
        </w:trPr>
        <w:tc>
          <w:tcPr>
            <w:tcW w:w="1059"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C336A34" w14:textId="77777777" w:rsidR="00C03C47"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Rural</w:t>
            </w:r>
          </w:p>
        </w:tc>
        <w:tc>
          <w:tcPr>
            <w:tcW w:w="1413"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B7DF7AD" w14:textId="77777777" w:rsidR="00C03C47"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7,837,361</w:t>
            </w:r>
          </w:p>
        </w:tc>
        <w:tc>
          <w:tcPr>
            <w:tcW w:w="1389"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A9376D3" w14:textId="77777777" w:rsidR="00C03C47"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5,913,417</w:t>
            </w:r>
          </w:p>
        </w:tc>
        <w:tc>
          <w:tcPr>
            <w:tcW w:w="1389"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642415D" w14:textId="77777777" w:rsidR="00C03C47"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4,046,518</w:t>
            </w:r>
          </w:p>
        </w:tc>
        <w:tc>
          <w:tcPr>
            <w:tcW w:w="151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6D255EA" w14:textId="77777777" w:rsidR="00C03C47"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4,854,172</w:t>
            </w:r>
          </w:p>
        </w:tc>
        <w:tc>
          <w:tcPr>
            <w:tcW w:w="151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E36D6A3" w14:textId="77777777" w:rsidR="00C03C47"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22,651,467</w:t>
            </w:r>
          </w:p>
        </w:tc>
      </w:tr>
    </w:tbl>
    <w:p w14:paraId="1EDC5F83" w14:textId="77777777" w:rsidR="00C03C47" w:rsidRDefault="00000000">
      <w:pPr>
        <w:pStyle w:val="Titre3"/>
      </w:pPr>
      <w:bookmarkStart w:id="20" w:name="resultats-du-test-de-khi2"/>
      <w:bookmarkStart w:id="21" w:name="_Toc227451625"/>
      <w:bookmarkEnd w:id="18"/>
      <w:r>
        <w:t>3.2.2 Resultats du test de khi2</w:t>
      </w:r>
      <w:bookmarkEnd w:id="21"/>
    </w:p>
    <w:p w14:paraId="0748DC1E" w14:textId="77777777" w:rsidR="00C03C47" w:rsidRDefault="00000000">
      <w:pPr>
        <w:pStyle w:val="TableCaption"/>
        <w:pBdr>
          <w:top w:val="none" w:sz="0" w:space="0" w:color="000000"/>
          <w:left w:val="none" w:sz="0" w:space="0" w:color="000000"/>
          <w:bottom w:val="none" w:sz="0" w:space="0" w:color="000000"/>
          <w:right w:val="none" w:sz="0" w:space="0" w:color="000000"/>
        </w:pBdr>
        <w:spacing w:before="60" w:after="60"/>
        <w:ind w:left="60" w:right="60"/>
        <w:jc w:val="center"/>
      </w:pPr>
      <w:r>
        <w:t>Resultats du Test du Chi-deux</w:t>
      </w:r>
    </w:p>
    <w:tbl>
      <w:tblPr>
        <w:tblStyle w:val="Table"/>
        <w:tblW w:w="0" w:type="auto"/>
        <w:jc w:val="center"/>
        <w:tblLayout w:type="fixed"/>
        <w:tblLook w:val="0420" w:firstRow="1" w:lastRow="0" w:firstColumn="0" w:lastColumn="0" w:noHBand="0" w:noVBand="1"/>
      </w:tblPr>
      <w:tblGrid>
        <w:gridCol w:w="2086"/>
        <w:gridCol w:w="1512"/>
        <w:gridCol w:w="2722"/>
      </w:tblGrid>
      <w:tr w:rsidR="00C03C47" w14:paraId="6A48F980" w14:textId="77777777" w:rsidTr="00C03C47">
        <w:trPr>
          <w:cnfStyle w:val="100000000000" w:firstRow="1" w:lastRow="0" w:firstColumn="0" w:lastColumn="0" w:oddVBand="0" w:evenVBand="0" w:oddHBand="0" w:evenHBand="0" w:firstRowFirstColumn="0" w:firstRowLastColumn="0" w:lastRowFirstColumn="0" w:lastRowLastColumn="0"/>
          <w:tblHeader/>
          <w:jc w:val="center"/>
        </w:trPr>
        <w:tc>
          <w:tcPr>
            <w:tcW w:w="208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1310EDE" w14:textId="77777777" w:rsidR="00C03C47"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22"/>
                <w:szCs w:val="22"/>
              </w:rPr>
            </w:pPr>
            <w:r>
              <w:rPr>
                <w:rFonts w:ascii="Arial" w:eastAsia="Arial" w:hAnsi="Arial" w:cs="Arial"/>
                <w:b/>
                <w:color w:val="000000"/>
                <w:sz w:val="22"/>
                <w:szCs w:val="22"/>
              </w:rPr>
              <w:t>Statistique</w:t>
            </w:r>
          </w:p>
        </w:tc>
        <w:tc>
          <w:tcPr>
            <w:tcW w:w="151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2141552" w14:textId="77777777" w:rsidR="00C03C47"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b/>
                <w:color w:val="000000"/>
                <w:sz w:val="22"/>
                <w:szCs w:val="22"/>
              </w:rPr>
            </w:pPr>
            <w:r>
              <w:rPr>
                <w:rFonts w:ascii="Arial" w:eastAsia="Arial" w:hAnsi="Arial" w:cs="Arial"/>
                <w:b/>
                <w:color w:val="000000"/>
                <w:sz w:val="22"/>
                <w:szCs w:val="22"/>
              </w:rPr>
              <w:t>Valeur</w:t>
            </w:r>
          </w:p>
        </w:tc>
        <w:tc>
          <w:tcPr>
            <w:tcW w:w="272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782A6E1" w14:textId="77777777" w:rsidR="00C03C47"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22"/>
                <w:szCs w:val="22"/>
              </w:rPr>
            </w:pPr>
            <w:r>
              <w:rPr>
                <w:rFonts w:ascii="Arial" w:eastAsia="Arial" w:hAnsi="Arial" w:cs="Arial"/>
                <w:b/>
                <w:color w:val="000000"/>
                <w:sz w:val="22"/>
                <w:szCs w:val="22"/>
              </w:rPr>
              <w:t>Interpretation</w:t>
            </w:r>
          </w:p>
        </w:tc>
      </w:tr>
      <w:tr w:rsidR="00C03C47" w14:paraId="4CF6C867" w14:textId="77777777" w:rsidTr="00C03C47">
        <w:trPr>
          <w:jc w:val="center"/>
        </w:trPr>
        <w:tc>
          <w:tcPr>
            <w:tcW w:w="2086" w:type="dxa"/>
            <w:tcBorders>
              <w:top w:val="single" w:sz="12" w:space="0" w:color="666666"/>
              <w:left w:val="none" w:sz="0" w:space="0" w:color="000000"/>
              <w:bottom w:val="none" w:sz="0" w:space="0" w:color="000000"/>
              <w:right w:val="none" w:sz="0" w:space="0" w:color="000000"/>
            </w:tcBorders>
            <w:shd w:val="clear" w:color="auto" w:fill="F0F0F0"/>
            <w:tcMar>
              <w:top w:w="0" w:type="dxa"/>
              <w:left w:w="0" w:type="dxa"/>
              <w:bottom w:w="0" w:type="dxa"/>
              <w:right w:w="0" w:type="dxa"/>
            </w:tcMar>
            <w:vAlign w:val="center"/>
          </w:tcPr>
          <w:p w14:paraId="0C9895C5" w14:textId="77777777" w:rsidR="00C03C47"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Chi-deux (X2)</w:t>
            </w:r>
          </w:p>
        </w:tc>
        <w:tc>
          <w:tcPr>
            <w:tcW w:w="1512" w:type="dxa"/>
            <w:tcBorders>
              <w:top w:val="single" w:sz="12" w:space="0" w:color="666666"/>
              <w:left w:val="none" w:sz="0" w:space="0" w:color="000000"/>
              <w:bottom w:val="none" w:sz="0" w:space="0" w:color="000000"/>
              <w:right w:val="none" w:sz="0" w:space="0" w:color="000000"/>
            </w:tcBorders>
            <w:shd w:val="clear" w:color="auto" w:fill="F0F0F0"/>
            <w:tcMar>
              <w:top w:w="0" w:type="dxa"/>
              <w:left w:w="0" w:type="dxa"/>
              <w:bottom w:w="0" w:type="dxa"/>
              <w:right w:w="0" w:type="dxa"/>
            </w:tcMar>
            <w:vAlign w:val="center"/>
          </w:tcPr>
          <w:p w14:paraId="54B65A1E" w14:textId="77777777" w:rsidR="00C03C47"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76,508.465</w:t>
            </w:r>
          </w:p>
        </w:tc>
        <w:tc>
          <w:tcPr>
            <w:tcW w:w="2722" w:type="dxa"/>
            <w:tcBorders>
              <w:top w:val="single" w:sz="12" w:space="0" w:color="666666"/>
              <w:left w:val="none" w:sz="0" w:space="0" w:color="000000"/>
              <w:bottom w:val="none" w:sz="0" w:space="0" w:color="000000"/>
              <w:right w:val="none" w:sz="0" w:space="0" w:color="000000"/>
            </w:tcBorders>
            <w:shd w:val="clear" w:color="auto" w:fill="F0F0F0"/>
            <w:tcMar>
              <w:top w:w="0" w:type="dxa"/>
              <w:left w:w="0" w:type="dxa"/>
              <w:bottom w:w="0" w:type="dxa"/>
              <w:right w:w="0" w:type="dxa"/>
            </w:tcMar>
            <w:vAlign w:val="center"/>
          </w:tcPr>
          <w:p w14:paraId="72AC0989" w14:textId="77777777" w:rsidR="00C03C47" w:rsidRDefault="00C03C47">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p>
        </w:tc>
      </w:tr>
      <w:tr w:rsidR="00C03C47" w14:paraId="282F23F5" w14:textId="77777777" w:rsidTr="00C03C47">
        <w:trPr>
          <w:jc w:val="center"/>
        </w:trPr>
        <w:tc>
          <w:tcPr>
            <w:tcW w:w="208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72E62B" w14:textId="77777777" w:rsidR="00C03C47"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Degres de liberte</w:t>
            </w:r>
          </w:p>
        </w:tc>
        <w:tc>
          <w:tcPr>
            <w:tcW w:w="15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F4D5C9" w14:textId="77777777" w:rsidR="00C03C47"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3.000</w:t>
            </w:r>
          </w:p>
        </w:tc>
        <w:tc>
          <w:tcPr>
            <w:tcW w:w="27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BA7BE0" w14:textId="77777777" w:rsidR="00C03C47" w:rsidRDefault="00C03C47">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p>
        </w:tc>
      </w:tr>
      <w:tr w:rsidR="00C03C47" w14:paraId="4A623492" w14:textId="77777777" w:rsidTr="00C03C47">
        <w:trPr>
          <w:jc w:val="center"/>
        </w:trPr>
        <w:tc>
          <w:tcPr>
            <w:tcW w:w="2086" w:type="dxa"/>
            <w:tcBorders>
              <w:top w:val="none" w:sz="0" w:space="0" w:color="000000"/>
              <w:left w:val="none" w:sz="0" w:space="0" w:color="000000"/>
              <w:bottom w:val="none" w:sz="0" w:space="0" w:color="000000"/>
              <w:right w:val="none" w:sz="0" w:space="0" w:color="000000"/>
            </w:tcBorders>
            <w:shd w:val="clear" w:color="auto" w:fill="F0F0F0"/>
            <w:tcMar>
              <w:top w:w="0" w:type="dxa"/>
              <w:left w:w="0" w:type="dxa"/>
              <w:bottom w:w="0" w:type="dxa"/>
              <w:right w:w="0" w:type="dxa"/>
            </w:tcMar>
            <w:vAlign w:val="center"/>
          </w:tcPr>
          <w:p w14:paraId="338330D7" w14:textId="77777777" w:rsidR="00C03C47"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P-value</w:t>
            </w:r>
          </w:p>
        </w:tc>
        <w:tc>
          <w:tcPr>
            <w:tcW w:w="1512" w:type="dxa"/>
            <w:tcBorders>
              <w:top w:val="none" w:sz="0" w:space="0" w:color="000000"/>
              <w:left w:val="none" w:sz="0" w:space="0" w:color="000000"/>
              <w:bottom w:val="none" w:sz="0" w:space="0" w:color="000000"/>
              <w:right w:val="none" w:sz="0" w:space="0" w:color="000000"/>
            </w:tcBorders>
            <w:shd w:val="clear" w:color="auto" w:fill="F0F0F0"/>
            <w:tcMar>
              <w:top w:w="0" w:type="dxa"/>
              <w:left w:w="0" w:type="dxa"/>
              <w:bottom w:w="0" w:type="dxa"/>
              <w:right w:w="0" w:type="dxa"/>
            </w:tcMar>
            <w:vAlign w:val="center"/>
          </w:tcPr>
          <w:p w14:paraId="4AF582D8" w14:textId="77777777" w:rsidR="00C03C47"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0.000</w:t>
            </w:r>
          </w:p>
        </w:tc>
        <w:tc>
          <w:tcPr>
            <w:tcW w:w="2722" w:type="dxa"/>
            <w:tcBorders>
              <w:top w:val="none" w:sz="0" w:space="0" w:color="000000"/>
              <w:left w:val="none" w:sz="0" w:space="0" w:color="000000"/>
              <w:bottom w:val="none" w:sz="0" w:space="0" w:color="000000"/>
              <w:right w:val="none" w:sz="0" w:space="0" w:color="000000"/>
            </w:tcBorders>
            <w:shd w:val="clear" w:color="auto" w:fill="F0F0F0"/>
            <w:tcMar>
              <w:top w:w="0" w:type="dxa"/>
              <w:left w:w="0" w:type="dxa"/>
              <w:bottom w:w="0" w:type="dxa"/>
              <w:right w:w="0" w:type="dxa"/>
            </w:tcMar>
            <w:vAlign w:val="center"/>
          </w:tcPr>
          <w:p w14:paraId="47A97109" w14:textId="77777777" w:rsidR="00C03C47"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 Tres significatif</w:t>
            </w:r>
          </w:p>
        </w:tc>
      </w:tr>
      <w:tr w:rsidR="00C03C47" w14:paraId="17145ABC" w14:textId="77777777" w:rsidTr="00C03C47">
        <w:trPr>
          <w:jc w:val="center"/>
        </w:trPr>
        <w:tc>
          <w:tcPr>
            <w:tcW w:w="2086"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48797C3" w14:textId="77777777" w:rsidR="00C03C47"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V de Cramer</w:t>
            </w:r>
          </w:p>
        </w:tc>
        <w:tc>
          <w:tcPr>
            <w:tcW w:w="151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0D5DBB2" w14:textId="77777777" w:rsidR="00C03C47"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0.055</w:t>
            </w:r>
          </w:p>
        </w:tc>
        <w:tc>
          <w:tcPr>
            <w:tcW w:w="272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75A1CEC" w14:textId="77777777" w:rsidR="00C03C47"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Association negligeable</w:t>
            </w:r>
          </w:p>
        </w:tc>
      </w:tr>
    </w:tbl>
    <w:p w14:paraId="02E99F57" w14:textId="77777777" w:rsidR="00C03C47" w:rsidRDefault="00000000">
      <w:pPr>
        <w:pStyle w:val="Titre1"/>
      </w:pPr>
      <w:bookmarkStart w:id="22" w:name="Xa5b4d6968c08f6f85c606df9d44c54dd6758dbf"/>
      <w:bookmarkStart w:id="23" w:name="_Toc227451626"/>
      <w:bookmarkEnd w:id="12"/>
      <w:bookmarkEnd w:id="16"/>
      <w:bookmarkEnd w:id="20"/>
      <w:r>
        <w:lastRenderedPageBreak/>
        <w:t>4. Rendement a l’hectare pour la culture principale</w:t>
      </w:r>
      <w:bookmarkEnd w:id="23"/>
    </w:p>
    <w:p w14:paraId="57927331" w14:textId="77777777" w:rsidR="00C03C47" w:rsidRDefault="00000000">
      <w:pPr>
        <w:pStyle w:val="FirstParagraph"/>
      </w:pPr>
      <w:r>
        <w:t>La distribution des rendements agricoles pour le mais et le millet varie considerablement selon les Etats au Nigeria. Kaduna et Zamfara se distinguent comme les Etats les plus productifs, affichant les rendements medians les plus eleves, notamment pour le millet.</w:t>
      </w:r>
    </w:p>
    <w:p w14:paraId="285A0D8D" w14:textId="77777777" w:rsidR="00C03C47" w:rsidRDefault="00000000">
      <w:pPr>
        <w:pStyle w:val="Corpsdetexte"/>
      </w:pPr>
      <w:r>
        <w:rPr>
          <w:noProof/>
        </w:rPr>
        <w:drawing>
          <wp:inline distT="0" distB="0" distL="0" distR="0" wp14:anchorId="4B539093" wp14:editId="5FDE2F97">
            <wp:extent cx="5334000" cy="3200400"/>
            <wp:effectExtent l="0" t="0" r="0" b="0"/>
            <wp:docPr id="44" name="Picture"/>
            <wp:cNvGraphicFramePr/>
            <a:graphic xmlns:a="http://schemas.openxmlformats.org/drawingml/2006/main">
              <a:graphicData uri="http://schemas.openxmlformats.org/drawingml/2006/picture">
                <pic:pic xmlns:pic="http://schemas.openxmlformats.org/drawingml/2006/picture">
                  <pic:nvPicPr>
                    <pic:cNvPr id="45" name="Picture" descr="Rapport_TP5_Word_files/figure-docx/Rendement-1.png"/>
                    <pic:cNvPicPr>
                      <a:picLocks noChangeAspect="1" noChangeArrowheads="1"/>
                    </pic:cNvPicPr>
                  </pic:nvPicPr>
                  <pic:blipFill>
                    <a:blip r:embed="rId9"/>
                    <a:stretch>
                      <a:fillRect/>
                    </a:stretch>
                  </pic:blipFill>
                  <pic:spPr bwMode="auto">
                    <a:xfrm>
                      <a:off x="0" y="0"/>
                      <a:ext cx="5334000" cy="3200400"/>
                    </a:xfrm>
                    <a:prstGeom prst="rect">
                      <a:avLst/>
                    </a:prstGeom>
                    <a:noFill/>
                    <a:ln w="9525">
                      <a:noFill/>
                      <a:headEnd/>
                      <a:tailEnd/>
                    </a:ln>
                  </pic:spPr>
                </pic:pic>
              </a:graphicData>
            </a:graphic>
          </wp:inline>
        </w:drawing>
      </w:r>
    </w:p>
    <w:p w14:paraId="21C6902C" w14:textId="77777777" w:rsidR="00C03C47" w:rsidRDefault="00000000">
      <w:pPr>
        <w:pStyle w:val="Titre1"/>
      </w:pPr>
      <w:bookmarkStart w:id="24" w:name="X815f7b7e752dc560791ccdef185ca0770d35622"/>
      <w:bookmarkStart w:id="25" w:name="_Toc227451627"/>
      <w:bookmarkEnd w:id="22"/>
      <w:r>
        <w:t>5. Relation entre utilisation d’engrais chimique et rendement</w:t>
      </w:r>
      <w:bookmarkEnd w:id="25"/>
    </w:p>
    <w:p w14:paraId="5995B96E" w14:textId="77777777" w:rsidR="00C03C47" w:rsidRDefault="00000000">
      <w:pPr>
        <w:pStyle w:val="FirstParagraph"/>
      </w:pPr>
      <w:r>
        <w:t xml:space="preserve">Les boxplots revelent une relation contrastee entre l’utilisation d’engrais chimique et le rendement agricole selon la culture consideree. Pour le </w:t>
      </w:r>
      <w:r>
        <w:rPr>
          <w:b/>
          <w:bCs/>
        </w:rPr>
        <w:t>mais</w:t>
      </w:r>
      <w:r>
        <w:t xml:space="preserve">, la difference est statistiquement tres significative (Wilcoxon, p &lt; 0.001), avec une taille d’effet faible (r = 0.138). Pour le </w:t>
      </w:r>
      <w:r>
        <w:rPr>
          <w:b/>
          <w:bCs/>
        </w:rPr>
        <w:t>millet</w:t>
      </w:r>
      <w:r>
        <w:t>, aucune difference significative n’est observee (Wilcoxon, p = 0.655), avec une taille d’effet quasi nulle (r = 0.014).</w:t>
      </w:r>
    </w:p>
    <w:p w14:paraId="5FF79BCF" w14:textId="77777777" w:rsidR="00C03C47" w:rsidRDefault="00000000">
      <w:pPr>
        <w:pStyle w:val="TableCaption"/>
        <w:pBdr>
          <w:top w:val="none" w:sz="0" w:space="0" w:color="000000"/>
          <w:left w:val="none" w:sz="0" w:space="0" w:color="000000"/>
          <w:bottom w:val="none" w:sz="0" w:space="0" w:color="000000"/>
          <w:right w:val="none" w:sz="0" w:space="0" w:color="000000"/>
        </w:pBdr>
        <w:spacing w:before="60" w:after="60"/>
        <w:ind w:left="60" w:right="60"/>
        <w:jc w:val="center"/>
      </w:pPr>
      <w:r>
        <w:t>Taille d'effet du test de Wilcoxon</w:t>
      </w:r>
    </w:p>
    <w:tbl>
      <w:tblPr>
        <w:tblStyle w:val="Table"/>
        <w:tblW w:w="0" w:type="auto"/>
        <w:jc w:val="center"/>
        <w:tblLayout w:type="fixed"/>
        <w:tblLook w:val="0420" w:firstRow="1" w:lastRow="0" w:firstColumn="0" w:lastColumn="0" w:noHBand="0" w:noVBand="1"/>
      </w:tblPr>
      <w:tblGrid>
        <w:gridCol w:w="1181"/>
        <w:gridCol w:w="1206"/>
        <w:gridCol w:w="1230"/>
        <w:gridCol w:w="1083"/>
        <w:gridCol w:w="2050"/>
      </w:tblGrid>
      <w:tr w:rsidR="00C03C47" w14:paraId="47AD8967" w14:textId="77777777" w:rsidTr="00C03C47">
        <w:trPr>
          <w:cnfStyle w:val="100000000000" w:firstRow="1" w:lastRow="0" w:firstColumn="0" w:lastColumn="0" w:oddVBand="0" w:evenVBand="0" w:oddHBand="0" w:evenHBand="0" w:firstRowFirstColumn="0" w:firstRowLastColumn="0" w:lastRowFirstColumn="0" w:lastRowLastColumn="0"/>
          <w:tblHeader/>
          <w:jc w:val="center"/>
        </w:trPr>
        <w:tc>
          <w:tcPr>
            <w:tcW w:w="118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212ECA" w14:textId="77777777" w:rsidR="00C03C47"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22"/>
                <w:szCs w:val="22"/>
              </w:rPr>
            </w:pPr>
            <w:r>
              <w:rPr>
                <w:rFonts w:ascii="Arial" w:eastAsia="Arial" w:hAnsi="Arial" w:cs="Arial"/>
                <w:b/>
                <w:color w:val="000000"/>
                <w:sz w:val="22"/>
                <w:szCs w:val="22"/>
              </w:rPr>
              <w:t>Culture</w:t>
            </w:r>
          </w:p>
        </w:tc>
        <w:tc>
          <w:tcPr>
            <w:tcW w:w="120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90CC603" w14:textId="77777777" w:rsidR="00C03C47"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b/>
                <w:color w:val="000000"/>
                <w:sz w:val="22"/>
                <w:szCs w:val="22"/>
              </w:rPr>
            </w:pPr>
            <w:r>
              <w:rPr>
                <w:rFonts w:ascii="Arial" w:eastAsia="Arial" w:hAnsi="Arial" w:cs="Arial"/>
                <w:b/>
                <w:color w:val="000000"/>
                <w:sz w:val="22"/>
                <w:szCs w:val="22"/>
              </w:rPr>
              <w:t>W</w:t>
            </w:r>
          </w:p>
        </w:tc>
        <w:tc>
          <w:tcPr>
            <w:tcW w:w="123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A1537A3" w14:textId="77777777" w:rsidR="00C03C47"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b/>
                <w:color w:val="000000"/>
                <w:sz w:val="22"/>
                <w:szCs w:val="22"/>
              </w:rPr>
            </w:pPr>
            <w:r>
              <w:rPr>
                <w:rFonts w:ascii="Arial" w:eastAsia="Arial" w:hAnsi="Arial" w:cs="Arial"/>
                <w:b/>
                <w:color w:val="000000"/>
                <w:sz w:val="22"/>
                <w:szCs w:val="22"/>
              </w:rPr>
              <w:t>p_value</w:t>
            </w:r>
          </w:p>
        </w:tc>
        <w:tc>
          <w:tcPr>
            <w:tcW w:w="1083"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B0413D2" w14:textId="77777777" w:rsidR="00C03C47"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b/>
                <w:color w:val="000000"/>
                <w:sz w:val="22"/>
                <w:szCs w:val="22"/>
              </w:rPr>
            </w:pPr>
            <w:r>
              <w:rPr>
                <w:rFonts w:ascii="Arial" w:eastAsia="Arial" w:hAnsi="Arial" w:cs="Arial"/>
                <w:b/>
                <w:color w:val="000000"/>
                <w:sz w:val="22"/>
                <w:szCs w:val="22"/>
              </w:rPr>
              <w:t>r_effet</w:t>
            </w:r>
          </w:p>
        </w:tc>
        <w:tc>
          <w:tcPr>
            <w:tcW w:w="205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679548E" w14:textId="77777777" w:rsidR="00C03C47"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22"/>
                <w:szCs w:val="22"/>
              </w:rPr>
            </w:pPr>
            <w:r>
              <w:rPr>
                <w:rFonts w:ascii="Arial" w:eastAsia="Arial" w:hAnsi="Arial" w:cs="Arial"/>
                <w:b/>
                <w:color w:val="000000"/>
                <w:sz w:val="22"/>
                <w:szCs w:val="22"/>
              </w:rPr>
              <w:t>Interpretation</w:t>
            </w:r>
          </w:p>
        </w:tc>
      </w:tr>
      <w:tr w:rsidR="00C03C47" w14:paraId="3F810620" w14:textId="77777777" w:rsidTr="00C03C47">
        <w:trPr>
          <w:jc w:val="center"/>
        </w:trPr>
        <w:tc>
          <w:tcPr>
            <w:tcW w:w="118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7D08A3" w14:textId="77777777" w:rsidR="00C03C47"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Mais</w:t>
            </w:r>
          </w:p>
        </w:tc>
        <w:tc>
          <w:tcPr>
            <w:tcW w:w="1206"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C13559" w14:textId="77777777" w:rsidR="00C03C47"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616,141</w:t>
            </w:r>
          </w:p>
        </w:tc>
        <w:tc>
          <w:tcPr>
            <w:tcW w:w="123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2872E6" w14:textId="77777777" w:rsidR="00C03C47"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0.0000</w:t>
            </w:r>
          </w:p>
        </w:tc>
        <w:tc>
          <w:tcPr>
            <w:tcW w:w="1083"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CC93AE" w14:textId="77777777" w:rsidR="00C03C47"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0.138</w:t>
            </w:r>
          </w:p>
        </w:tc>
        <w:tc>
          <w:tcPr>
            <w:tcW w:w="205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4A67E9" w14:textId="77777777" w:rsidR="00C03C47"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Effet faible</w:t>
            </w:r>
          </w:p>
        </w:tc>
      </w:tr>
      <w:tr w:rsidR="00C03C47" w14:paraId="6CB3163E" w14:textId="77777777" w:rsidTr="00C03C47">
        <w:trPr>
          <w:jc w:val="center"/>
        </w:trPr>
        <w:tc>
          <w:tcPr>
            <w:tcW w:w="118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3D4C11B" w14:textId="77777777" w:rsidR="00C03C47"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Millet</w:t>
            </w:r>
          </w:p>
        </w:tc>
        <w:tc>
          <w:tcPr>
            <w:tcW w:w="1206"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4010D97" w14:textId="77777777" w:rsidR="00C03C47"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111,519</w:t>
            </w:r>
          </w:p>
        </w:tc>
        <w:tc>
          <w:tcPr>
            <w:tcW w:w="123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7731918" w14:textId="77777777" w:rsidR="00C03C47"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0.6553</w:t>
            </w:r>
          </w:p>
        </w:tc>
        <w:tc>
          <w:tcPr>
            <w:tcW w:w="1083"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596933E" w14:textId="77777777" w:rsidR="00C03C47"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0.014</w:t>
            </w:r>
          </w:p>
        </w:tc>
        <w:tc>
          <w:tcPr>
            <w:tcW w:w="205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C9BB673" w14:textId="77777777" w:rsidR="00C03C47"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Effet negligeable</w:t>
            </w:r>
          </w:p>
        </w:tc>
      </w:tr>
    </w:tbl>
    <w:p w14:paraId="2D6938C4" w14:textId="77777777" w:rsidR="00C03C47" w:rsidRDefault="00000000">
      <w:pPr>
        <w:pStyle w:val="Corpsdetexte"/>
      </w:pPr>
      <w:r>
        <w:rPr>
          <w:noProof/>
        </w:rPr>
        <w:lastRenderedPageBreak/>
        <w:drawing>
          <wp:inline distT="0" distB="0" distL="0" distR="0" wp14:anchorId="69D4AC0A" wp14:editId="1ED8E2F6">
            <wp:extent cx="5334000" cy="3200400"/>
            <wp:effectExtent l="0" t="0" r="0" b="0"/>
            <wp:docPr id="48" name="Picture"/>
            <wp:cNvGraphicFramePr/>
            <a:graphic xmlns:a="http://schemas.openxmlformats.org/drawingml/2006/main">
              <a:graphicData uri="http://schemas.openxmlformats.org/drawingml/2006/picture">
                <pic:pic xmlns:pic="http://schemas.openxmlformats.org/drawingml/2006/picture">
                  <pic:nvPicPr>
                    <pic:cNvPr id="49" name="Picture" descr="Rapport_TP5_Word_files/figure-docx/Boxplot_engrais_rendement-1.png"/>
                    <pic:cNvPicPr>
                      <a:picLocks noChangeAspect="1" noChangeArrowheads="1"/>
                    </pic:cNvPicPr>
                  </pic:nvPicPr>
                  <pic:blipFill>
                    <a:blip r:embed="rId10"/>
                    <a:stretch>
                      <a:fillRect/>
                    </a:stretch>
                  </pic:blipFill>
                  <pic:spPr bwMode="auto">
                    <a:xfrm>
                      <a:off x="0" y="0"/>
                      <a:ext cx="5334000" cy="3200400"/>
                    </a:xfrm>
                    <a:prstGeom prst="rect">
                      <a:avLst/>
                    </a:prstGeom>
                    <a:noFill/>
                    <a:ln w="9525">
                      <a:noFill/>
                      <a:headEnd/>
                      <a:tailEnd/>
                    </a:ln>
                  </pic:spPr>
                </pic:pic>
              </a:graphicData>
            </a:graphic>
          </wp:inline>
        </w:drawing>
      </w:r>
    </w:p>
    <w:p w14:paraId="38B394F0" w14:textId="77777777" w:rsidR="00C03C47" w:rsidRDefault="00000000">
      <w:pPr>
        <w:pStyle w:val="Titre1"/>
      </w:pPr>
      <w:bookmarkStart w:id="26" w:name="conclusion"/>
      <w:bookmarkStart w:id="27" w:name="_Toc227451628"/>
      <w:bookmarkEnd w:id="24"/>
      <w:r>
        <w:t>Conclusion</w:t>
      </w:r>
      <w:bookmarkEnd w:id="27"/>
    </w:p>
    <w:p w14:paraId="5C659DF1" w14:textId="77777777" w:rsidR="00C03C47" w:rsidRDefault="00000000">
      <w:pPr>
        <w:pStyle w:val="FirstParagraph"/>
      </w:pPr>
      <w:r>
        <w:t>Les resultats de cette analyse revelent un systeme agricole nigerien caracterise par une diversification moderee autour de 2 a 3 cultures par menage, domine par le mais et le manioc comme cultures de base. Les disparites entre milieux rural et urbain sont marquees a plusieurs niveaux : les menages ruraux presentent une diversification culturale significativement plus elevee et un recours aux engrais nettement plus important, avec des taux d’utilisation d’engrais chimiques atteignant 41.6% en milieu rural contre seulement 5.8% en milieu urbain. L’analyse des rendements montre que l’utilisation d’engrais chimiques ameliore significativement le rendement du mais, bien que la taille d’effet reste faible, tandis qu’aucun impact significatif n’est observe pour le millet. Ces resultats soulignent la necessite de politiques agricoles differenciees tenant compte des specificites agro-ecologiques et socioeconomiques des regions nigerianes, notamment pour ameliorer l’acces aux intrants agricoles en milieu rural et renforcer la productivite des petits exploitants.</w:t>
      </w:r>
      <w:bookmarkEnd w:id="26"/>
    </w:p>
    <w:sectPr w:rsidR="00C03C47">
      <w:footnotePr>
        <w:numRestart w:val="eachSect"/>
      </w:footnotePr>
      <w:pgSz w:w="12240" w:h="15840"/>
      <w:pgMar w:top="1417" w:right="1417" w:bottom="1417"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564C6B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6983538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3C47"/>
    <w:rsid w:val="00C03C47"/>
    <w:rsid w:val="00CA547B"/>
    <w:rsid w:val="00FC24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F5BF5D"/>
  <w15:docId w15:val="{8D30796D-5A99-4D6A-96A7-8D946D510A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itre1">
    <w:name w:val="heading 1"/>
    <w:basedOn w:val="Normal"/>
    <w:next w:val="Corpsdetexte"/>
    <w:link w:val="Titre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Corpsdetexte"/>
    <w:link w:val="Titre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Corpsdetexte"/>
    <w:link w:val="Titre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Corpsdetexte"/>
    <w:link w:val="Titre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Corpsdetexte"/>
    <w:link w:val="Titre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Corpsdetexte"/>
    <w:link w:val="Titre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Corpsdetexte"/>
    <w:link w:val="Titre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Corpsdetexte"/>
    <w:link w:val="Titre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Corpsdetexte"/>
    <w:link w:val="Titre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qFormat/>
    <w:pPr>
      <w:spacing w:before="180" w:after="180"/>
    </w:pPr>
  </w:style>
  <w:style w:type="paragraph" w:customStyle="1" w:styleId="FirstParagraph">
    <w:name w:val="First Paragraph"/>
    <w:basedOn w:val="Corpsdetexte"/>
    <w:next w:val="Corpsdetexte"/>
    <w:qFormat/>
  </w:style>
  <w:style w:type="paragraph" w:customStyle="1" w:styleId="Compact">
    <w:name w:val="Compact"/>
    <w:basedOn w:val="Corpsdetexte"/>
    <w:qFormat/>
    <w:pPr>
      <w:spacing w:before="36" w:after="36"/>
    </w:pPr>
  </w:style>
  <w:style w:type="paragraph" w:styleId="Titre">
    <w:name w:val="Title"/>
    <w:basedOn w:val="Normal"/>
    <w:next w:val="Corpsdetexte"/>
    <w:link w:val="TitreC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reCar">
    <w:name w:val="Titre Car"/>
    <w:basedOn w:val="Policepardfaut"/>
    <w:link w:val="Titre"/>
    <w:uiPriority w:val="10"/>
    <w:rsid w:val="00A10FD9"/>
    <w:rPr>
      <w:rFonts w:asciiTheme="majorHAnsi" w:eastAsiaTheme="majorEastAsia" w:hAnsiTheme="majorHAnsi" w:cstheme="majorBidi"/>
      <w:sz w:val="56"/>
      <w:szCs w:val="56"/>
    </w:rPr>
  </w:style>
  <w:style w:type="paragraph" w:styleId="Sous-titre">
    <w:name w:val="Subtitle"/>
    <w:basedOn w:val="Titre"/>
    <w:next w:val="Corpsdetexte"/>
    <w:link w:val="Sous-titreCar"/>
    <w:uiPriority w:val="11"/>
    <w:qFormat/>
    <w:rsid w:val="00A10FD9"/>
    <w:pPr>
      <w:numPr>
        <w:ilvl w:val="1"/>
      </w:numPr>
    </w:pPr>
    <w:rPr>
      <w:spacing w:val="15"/>
      <w:sz w:val="28"/>
      <w:szCs w:val="28"/>
    </w:rPr>
  </w:style>
  <w:style w:type="character" w:customStyle="1" w:styleId="Sous-titreCar">
    <w:name w:val="Sous-titre Car"/>
    <w:basedOn w:val="Policepardfaut"/>
    <w:link w:val="Sous-titr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re"/>
    <w:next w:val="Corpsdetexte"/>
    <w:qFormat/>
    <w:pPr>
      <w:keepNext/>
      <w:keepLines/>
    </w:pPr>
    <w:rPr>
      <w:sz w:val="24"/>
      <w:szCs w:val="24"/>
    </w:rPr>
  </w:style>
  <w:style w:type="paragraph" w:styleId="Date">
    <w:name w:val="Date"/>
    <w:basedOn w:val="Titre"/>
    <w:next w:val="Corpsdetexte"/>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Corpsdetexte"/>
    <w:qFormat/>
    <w:pPr>
      <w:keepNext/>
      <w:keepLines/>
      <w:spacing w:before="100" w:after="300"/>
    </w:pPr>
    <w:rPr>
      <w:sz w:val="20"/>
      <w:szCs w:val="20"/>
    </w:rPr>
  </w:style>
  <w:style w:type="paragraph" w:styleId="Bibliographie">
    <w:name w:val="Bibliography"/>
    <w:basedOn w:val="Normal"/>
    <w:qFormat/>
  </w:style>
  <w:style w:type="character" w:customStyle="1" w:styleId="Titre1Car">
    <w:name w:val="Titre 1 Car"/>
    <w:basedOn w:val="Policepardfaut"/>
    <w:link w:val="Titre1"/>
    <w:uiPriority w:val="9"/>
    <w:rsid w:val="00A10FD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A10FD9"/>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A10FD9"/>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10FD9"/>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10FD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10FD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10FD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10FD9"/>
    <w:rPr>
      <w:rFonts w:eastAsiaTheme="majorEastAsia" w:cstheme="majorBidi"/>
      <w:color w:val="272727" w:themeColor="text1" w:themeTint="D8"/>
    </w:rPr>
  </w:style>
  <w:style w:type="paragraph" w:styleId="Normalcentr">
    <w:name w:val="Block Text"/>
    <w:basedOn w:val="Corpsdetexte"/>
    <w:next w:val="Corpsdetexte"/>
    <w:uiPriority w:val="9"/>
    <w:unhideWhenUsed/>
    <w:qFormat/>
    <w:pPr>
      <w:spacing w:before="100" w:after="100"/>
      <w:ind w:left="480" w:right="480"/>
    </w:pPr>
  </w:style>
  <w:style w:type="paragraph" w:styleId="Notedebasdepage">
    <w:name w:val="footnote text"/>
    <w:basedOn w:val="Normal"/>
    <w:uiPriority w:val="9"/>
    <w:unhideWhenUsed/>
    <w:qFormat/>
  </w:style>
  <w:style w:type="paragraph" w:customStyle="1" w:styleId="FootnoteBlockText">
    <w:name w:val="Footnote Block Text"/>
    <w:basedOn w:val="Notedebasdepage"/>
    <w:next w:val="Notedebasdepag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gende">
    <w:name w:val="caption"/>
    <w:basedOn w:val="Normal"/>
    <w:link w:val="LgendeCar"/>
    <w:pPr>
      <w:spacing w:after="120"/>
    </w:pPr>
    <w:rPr>
      <w:i/>
    </w:rPr>
  </w:style>
  <w:style w:type="paragraph" w:customStyle="1" w:styleId="TableCaption">
    <w:name w:val="Table Caption"/>
    <w:basedOn w:val="Lgende"/>
    <w:pPr>
      <w:keepNext/>
    </w:pPr>
  </w:style>
  <w:style w:type="paragraph" w:customStyle="1" w:styleId="ImageCaption">
    <w:name w:val="Image Caption"/>
    <w:basedOn w:val="Lgende"/>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gendeCar">
    <w:name w:val="Légende Car"/>
    <w:basedOn w:val="Policepardfaut"/>
    <w:link w:val="Lgende"/>
  </w:style>
  <w:style w:type="character" w:customStyle="1" w:styleId="VerbatimChar">
    <w:name w:val="Verbatim Char"/>
    <w:basedOn w:val="LgendeCar"/>
    <w:link w:val="SourceCode"/>
    <w:rPr>
      <w:rFonts w:ascii="Consolas" w:hAnsi="Consolas"/>
      <w:sz w:val="22"/>
    </w:rPr>
  </w:style>
  <w:style w:type="character" w:customStyle="1" w:styleId="SectionNumber">
    <w:name w:val="Section Number"/>
    <w:basedOn w:val="LgendeCar"/>
  </w:style>
  <w:style w:type="character" w:styleId="Appelnotedebasdep">
    <w:name w:val="footnote reference"/>
    <w:basedOn w:val="LgendeCar"/>
    <w:rPr>
      <w:vertAlign w:val="superscript"/>
    </w:rPr>
  </w:style>
  <w:style w:type="character" w:styleId="Lienhypertexte">
    <w:name w:val="Hyperlink"/>
    <w:basedOn w:val="LgendeCar"/>
    <w:uiPriority w:val="99"/>
    <w:rPr>
      <w:color w:val="156082" w:themeColor="accent1"/>
    </w:rPr>
  </w:style>
  <w:style w:type="paragraph" w:styleId="En-ttedetabledesmatires">
    <w:name w:val="TOC Heading"/>
    <w:basedOn w:val="Titre1"/>
    <w:next w:val="Corpsdetexte"/>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TM1">
    <w:name w:val="toc 1"/>
    <w:basedOn w:val="Normal"/>
    <w:next w:val="Normal"/>
    <w:autoRedefine/>
    <w:uiPriority w:val="39"/>
    <w:rsid w:val="00CA547B"/>
    <w:pPr>
      <w:spacing w:after="100"/>
    </w:pPr>
  </w:style>
  <w:style w:type="paragraph" w:styleId="TM2">
    <w:name w:val="toc 2"/>
    <w:basedOn w:val="Normal"/>
    <w:next w:val="Normal"/>
    <w:autoRedefine/>
    <w:uiPriority w:val="39"/>
    <w:rsid w:val="00CA547B"/>
    <w:pPr>
      <w:spacing w:after="100"/>
      <w:ind w:left="240"/>
    </w:pPr>
  </w:style>
  <w:style w:type="paragraph" w:styleId="TM3">
    <w:name w:val="toc 3"/>
    <w:basedOn w:val="Normal"/>
    <w:next w:val="Normal"/>
    <w:autoRedefine/>
    <w:uiPriority w:val="39"/>
    <w:rsid w:val="00CA547B"/>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1201</Words>
  <Characters>6611</Characters>
  <Application>Microsoft Office Word</Application>
  <DocSecurity>0</DocSecurity>
  <Lines>55</Lines>
  <Paragraphs>15</Paragraphs>
  <ScaleCrop>false</ScaleCrop>
  <Company/>
  <LinksUpToDate>false</LinksUpToDate>
  <CharactersWithSpaces>7797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TP5 - Analyse des Systemes Agricoles au Nigeria</dc:title>
  <dc:creator>Apollos BAGBONON - Kadidja GUEBEDIANG</dc:creator>
  <cp:keywords/>
  <cp:lastModifiedBy>Apollos BAGBONON</cp:lastModifiedBy>
  <cp:revision>2</cp:revision>
  <dcterms:created xsi:type="dcterms:W3CDTF">2026-04-18T23:40:00Z</dcterms:created>
  <dcterms:modified xsi:type="dcterms:W3CDTF">2026-04-18T23:40:00Z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2026-04-19</vt:lpwstr>
  </property>
  <property fmtid="{D5CDD505-2E9C-101B-9397-08002B2CF9AE}" pid="3" name="output">
    <vt:lpwstr/>
  </property>
</Properties>
</file>