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97D"/>
          <w:sz w:val="48"/>
          <w:szCs w:val="48"/>
        </w:rPr>
        <w:t xml:space="preserve">Bases de données pour les cours PSRP 2025-2026</w:t>
      </w:r>
    </w:p>
    <w:p>
      <w:pPr>
        <w:spacing w:before="200" w:after="200"/>
        <w:jc w:val="center"/>
      </w:pPr>
      <w:r>
        <w:rPr>
          <w:rFonts w:ascii="Arial" w:cs="Arial" w:eastAsia="Arial" w:hAnsi="Arial"/>
          <w:i/>
          <w:iCs/>
          <w:color w:val="555555"/>
          <w:sz w:val="26"/>
          <w:szCs w:val="26"/>
        </w:rPr>
        <w:t xml:space="preserve">Description, sections couvertes, sources et liens de téléchargement</w:t>
      </w:r>
    </w:p>
    <w:p>
      <w:pPr>
        <w:spacing w:before="200" w:after="1440"/>
        <w:jc w:val="center"/>
      </w:pPr>
      <w:r>
        <w:rPr>
          <w:rFonts w:ascii="Arial" w:cs="Arial" w:eastAsia="Arial" w:hAnsi="Arial"/>
          <w:color w:val="777777"/>
          <w:sz w:val="22"/>
          <w:szCs w:val="22"/>
        </w:rPr>
        <w:t xml:space="preserve">Février 2026</w:t>
      </w:r>
    </w:p>
    <w:p>
      <w:r>
        <w:br w:type="page"/>
      </w:r>
    </w:p>
    <w:p>
      <w:pPr>
        <w:pStyle w:val="Heading1"/>
        <w:spacing w:before="400" w:after="200"/>
      </w:pPr>
      <w:r>
        <w:rPr>
          <w:rFonts w:ascii="Arial" w:cs="Arial" w:eastAsia="Arial" w:hAnsi="Arial"/>
          <w:b/>
          <w:bCs/>
          <w:color w:val="1F497D"/>
          <w:sz w:val="32"/>
          <w:szCs w:val="32"/>
        </w:rPr>
        <w:t xml:space="preserve">I. Bases de données à couverture africaine large</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 FAOSTAT — Food and Agriculture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et monde (245+ pays)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1961 – 2022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Organisation des Nations Unies pour l'Alimentation et l'Agriculture (FAO)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FAOSTAT est le système de données statistiques sur l'alimentation et l'agriculture le plus complet au monde. Il fournit des séries temporelles longues couvrant plus de 245 pays et territoires, depuis 1961 jusqu'à la date la plus récente disponible. Les données sont standardisées, permettant des comparaisons inter-pays.</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Production agricole (cultures, élevage, sylviculture, pêche), superficies récoltées, rendements, commerce bilatéral et flux commerciaux, prix à la production, indices alimentaires et nutritionnels, sécurité alimentaire (bilan alimentaire, prévalence de la sous-alimentation), emploi agricole et investissements, émissions de gaz à effet de serre du secteur agro-alimentaire, indicateurs des Objectifs de Développement Durable (ODD) liés à l'agriculture.</w:t>
      </w:r>
    </w:p>
    <w:p>
      <w:pPr>
        <w:spacing w:before="60" w:after="60"/>
      </w:pPr>
      <w:r>
        <w:rPr>
          <w:rFonts w:ascii="Arial" w:cs="Arial" w:eastAsia="Arial" w:hAnsi="Arial"/>
          <w:b/>
          <w:bCs/>
          <w:sz w:val="22"/>
          <w:szCs w:val="22"/>
        </w:rPr>
        <w:t xml:space="preserve">Lien de téléchargement : </w:t>
      </w:r>
      <w:hyperlink w:history="1" r:id="rIdfjltvcnkcdfrhskqftgrt">
        <w:r>
          <w:rPr>
            <w:rFonts w:ascii="Arial" w:cs="Arial" w:eastAsia="Arial" w:hAnsi="Arial"/>
            <w:color w:val="0563C1"/>
            <w:sz w:val="22"/>
            <w:szCs w:val="22"/>
            <w:u w:val="single"/>
          </w:rPr>
          <w:t xml:space="preserve">https://www.fao.org/faostat/en/</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2. Agro-MAPS — Global Agro-Ecological Zones (GAEZ)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et monde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1984 – 2002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FAO — Division de la statistique / Projet GAEZ</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Agro-MAPS est une base de données spatiale mondiale fournissant des statistiques agricoles nationales et sous-nationales, utilisées pour la calibration des modèles agro-écologiques. Elle compile des informations sur les terres cultivées et les cultures, désagrégées au niveau des provinces et districts, en lien avec des unités administratives géoréférencées.</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Production des principales cultures vivrières au niveau sous-national (district, province), superficies récoltées et rendements, répartition entre terres irriguées et pluviales, cartographie des zones agro-écologiques, utilisation des terres agricoles par système de production.</w:t>
      </w:r>
    </w:p>
    <w:p>
      <w:pPr>
        <w:spacing w:before="60" w:after="60"/>
      </w:pPr>
      <w:r>
        <w:rPr>
          <w:rFonts w:ascii="Arial" w:cs="Arial" w:eastAsia="Arial" w:hAnsi="Arial"/>
          <w:b/>
          <w:bCs/>
          <w:sz w:val="22"/>
          <w:szCs w:val="22"/>
        </w:rPr>
        <w:t xml:space="preserve">Lien de téléchargement : </w:t>
      </w:r>
      <w:hyperlink w:history="1" r:id="rIdqcguqbxf1rsahnflkhxdx">
        <w:r>
          <w:rPr>
            <w:rFonts w:ascii="Arial" w:cs="Arial" w:eastAsia="Arial" w:hAnsi="Arial"/>
            <w:color w:val="0563C1"/>
            <w:sz w:val="22"/>
            <w:szCs w:val="22"/>
            <w:u w:val="single"/>
          </w:rPr>
          <w:t xml:space="preserve">https://gaez.fao.org/pages/agromaps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3. ReSAKSS Country eAtlases (RCeA)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subsaharienne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 – 2018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IFPRI / Union Africaine / NEPAD / CER africaines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Le Système régional d'analyse stratégique et d'appui aux connaissances (ReSAKSS) fournit des outils interactifs de visualisation et d'analyse de données pour appuyer la planification des politiques agricoles en Afrique, notamment dans le cadre du Programme détaillé pour le développement de l'agriculture africaine (PDDAA/CAADP).</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Indicateurs CAADP (dépenses publiques agricoles, croissance du secteur agricole, commerce), données sous-nationales désagrégées par pays et par région, indicateurs biophysiques et climatiques, typologies agricoles, données socio-économiques des ménages ruraux, productivité agricole par culture, modèles économiques et projections.</w:t>
      </w:r>
    </w:p>
    <w:p>
      <w:pPr>
        <w:spacing w:before="60" w:after="60"/>
      </w:pPr>
      <w:r>
        <w:rPr>
          <w:rFonts w:ascii="Arial" w:cs="Arial" w:eastAsia="Arial" w:hAnsi="Arial"/>
          <w:b/>
          <w:bCs/>
          <w:sz w:val="22"/>
          <w:szCs w:val="22"/>
        </w:rPr>
        <w:t xml:space="preserve">Lien de téléchargement : </w:t>
      </w:r>
      <w:hyperlink w:history="1" r:id="rIda0u0rte6-8sslurd-e1ce">
        <w:r>
          <w:rPr>
            <w:rFonts w:ascii="Arial" w:cs="Arial" w:eastAsia="Arial" w:hAnsi="Arial"/>
            <w:color w:val="0563C1"/>
            <w:sz w:val="22"/>
            <w:szCs w:val="22"/>
            <w:u w:val="single"/>
          </w:rPr>
          <w:t xml:space="preserve">https://www.resakss.org/</w:t>
        </w:r>
      </w:hyperlink>
    </w:p>
    <w:p>
      <w:pPr>
        <w:spacing w:before="60" w:after="60"/>
      </w:pPr>
      <w:r>
        <w:rPr>
          <w:rFonts w:ascii="Arial" w:cs="Arial" w:eastAsia="Arial" w:hAnsi="Arial"/>
          <w:b/>
          <w:bCs/>
          <w:sz w:val="22"/>
          <w:szCs w:val="22"/>
        </w:rPr>
        <w:t xml:space="preserve">Portail eAtlas : </w:t>
      </w:r>
      <w:hyperlink w:history="1" r:id="rIdzebjeslvkzezvbpxh0zok">
        <w:r>
          <w:rPr>
            <w:rFonts w:ascii="Arial" w:cs="Arial" w:eastAsia="Arial" w:hAnsi="Arial"/>
            <w:color w:val="0563C1"/>
            <w:sz w:val="22"/>
            <w:szCs w:val="22"/>
            <w:u w:val="single"/>
          </w:rPr>
          <w:t xml:space="preserve">https://eatlas.resakss.org/</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4. HarvestStat Africa — Harmonized Subnational Crop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subsaharienne (33 pays)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1960 – 2023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FEWS NET / USAID — harmonisé et publié en accès libre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(GitHub / Dryad)</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HarvestStat Africa constitue la plus grande compilation de statistiques agricoles sous-nationales harmonisées en accès libre pour l'Afrique subsaharienne. Les données, issues du réseau FEWS NET de l'USAID, sont standardisées et calibrées sur des unités administratives stables pour produire des séries temporelles longues et cohérentes. L'ensemble comprend 574 204 enregistrements pour 33 pays et 94 types de cultures.</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Production de cultures (tonnes métriques), superficies récoltées (hectares) et rendements (t/ha) pour les principales cultures céréalières et vivrières (maïs, sorgho, millet, riz, blé, orge, fonio, etc.), données désagrégées au niveau sous-national (district/province).</w:t>
      </w:r>
    </w:p>
    <w:p>
      <w:pPr>
        <w:spacing w:before="60" w:after="60"/>
      </w:pPr>
      <w:r>
        <w:rPr>
          <w:rFonts w:ascii="Arial" w:cs="Arial" w:eastAsia="Arial" w:hAnsi="Arial"/>
          <w:b/>
          <w:bCs/>
          <w:sz w:val="22"/>
          <w:szCs w:val="22"/>
        </w:rPr>
        <w:t xml:space="preserve">Lien de téléchargement : </w:t>
      </w:r>
      <w:hyperlink w:history="1" r:id="rIda-_kxklc4euuu-tvtxzrr">
        <w:r>
          <w:rPr>
            <w:rFonts w:ascii="Arial" w:cs="Arial" w:eastAsia="Arial" w:hAnsi="Arial"/>
            <w:color w:val="0563C1"/>
            <w:sz w:val="22"/>
            <w:szCs w:val="22"/>
            <w:u w:val="single"/>
          </w:rPr>
          <w:t xml:space="preserve">https://github.com/HarvestStat/HarvestStat-Africa</w:t>
        </w:r>
      </w:hyperlink>
    </w:p>
    <w:p>
      <w:pPr>
        <w:spacing w:before="60" w:after="60"/>
      </w:pPr>
      <w:r>
        <w:rPr>
          <w:rFonts w:ascii="Arial" w:cs="Arial" w:eastAsia="Arial" w:hAnsi="Arial"/>
          <w:b/>
          <w:bCs/>
          <w:sz w:val="22"/>
          <w:szCs w:val="22"/>
        </w:rPr>
        <w:t xml:space="preserve">Dépôt de données (Dryad) : </w:t>
      </w:r>
      <w:hyperlink w:history="1" r:id="rIdd5ob_n17uwvptr46xk023">
        <w:r>
          <w:rPr>
            <w:rFonts w:ascii="Arial" w:cs="Arial" w:eastAsia="Arial" w:hAnsi="Arial"/>
            <w:color w:val="0563C1"/>
            <w:sz w:val="22"/>
            <w:szCs w:val="22"/>
            <w:u w:val="single"/>
          </w:rPr>
          <w:t xml:space="preserve">https://datadryad.org/dataset/doi:10.5061/dryad.vq83bk42w</w:t>
        </w:r>
      </w:hyperlink>
    </w:p>
    <w:p>
      <w:pPr>
        <w:spacing w:before="60" w:after="60"/>
      </w:pPr>
      <w:r>
        <w:rPr>
          <w:rFonts w:ascii="Arial" w:cs="Arial" w:eastAsia="Arial" w:hAnsi="Arial"/>
          <w:b/>
          <w:bCs/>
          <w:sz w:val="22"/>
          <w:szCs w:val="22"/>
        </w:rPr>
        <w:t xml:space="preserve">Publication : </w:t>
      </w:r>
      <w:hyperlink w:history="1" r:id="rIdwfxa63rlou8os1xhjckac">
        <w:r>
          <w:rPr>
            <w:rFonts w:ascii="Arial" w:cs="Arial" w:eastAsia="Arial" w:hAnsi="Arial"/>
            <w:color w:val="0563C1"/>
            <w:sz w:val="22"/>
            <w:szCs w:val="22"/>
            <w:u w:val="single"/>
          </w:rPr>
          <w:t xml:space="preserve">Scientific Data (2025) — https://doi.org/10.1038/s41597-025-05001-z</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5. Kaduna State Agricultural Production Data (USAID) — Nigeria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État de Kaduna, Nigeria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1999 – 2014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USAID Data Library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Base de données de production agricole sous-nationale collectée via les programmes USAID dans l'État de Kaduna, au nord du Nigeria. Elle permet des analyses de la production et des rendements agricoles au niveau sous-étatique sur une période de 15 ans.</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Production des principales cultures (céréales, légumineuses, tubercules), superficies cultivées et rendements par zones administratives de l'État de Kaduna, données sur les intrants agricoles.</w:t>
      </w:r>
    </w:p>
    <w:p>
      <w:pPr>
        <w:spacing w:before="60" w:after="60"/>
      </w:pPr>
      <w:r>
        <w:rPr>
          <w:rFonts w:ascii="Arial" w:cs="Arial" w:eastAsia="Arial" w:hAnsi="Arial"/>
          <w:b/>
          <w:bCs/>
          <w:sz w:val="22"/>
          <w:szCs w:val="22"/>
        </w:rPr>
        <w:t xml:space="preserve">Lien de téléchargement : </w:t>
      </w:r>
      <w:hyperlink w:history="1" r:id="rIdw8fp14avf3wqsqyhfbknc">
        <w:r>
          <w:rPr>
            <w:rFonts w:ascii="Arial" w:cs="Arial" w:eastAsia="Arial" w:hAnsi="Arial"/>
            <w:color w:val="0563C1"/>
            <w:sz w:val="22"/>
            <w:szCs w:val="22"/>
            <w:u w:val="single"/>
          </w:rPr>
          <w:t xml:space="preserve">https://data.usaid.gov/</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6. One Acre Fund (OAF) — Field Survey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de l'Est (Kenya, Rwanda, Burundi, Tanzanie, Ouganda, Malawi)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 – 2020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Acre Fund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(sous conditions d'utilisation)</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One Acre Fund collecte et publie des données agronomiques issues d'essais de terrain menés auprès de petits exploitants agricoles en Afrique de l'Est. Ces données sont rendues publiques pour bénéficier à la communauté de recherche. La portée de la collecte varie selon les pays et les années.</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Données d'essais de rendements (par culture et par variété), pratiques culturales des petits exploitants, types d'intrants utilisés (semences améliorées, engrais, pesticides), revenus agricoles et marges brutes, conditions agro-climatiques locales.</w:t>
      </w:r>
    </w:p>
    <w:p>
      <w:pPr>
        <w:spacing w:before="60" w:after="60"/>
      </w:pPr>
      <w:r>
        <w:rPr>
          <w:rFonts w:ascii="Arial" w:cs="Arial" w:eastAsia="Arial" w:hAnsi="Arial"/>
          <w:b/>
          <w:bCs/>
          <w:sz w:val="22"/>
          <w:szCs w:val="22"/>
        </w:rPr>
        <w:t xml:space="preserve">Lien de téléchargement : </w:t>
      </w:r>
      <w:hyperlink w:history="1" r:id="rIdipacbj9bh838up0tl1tmf">
        <w:r>
          <w:rPr>
            <w:rFonts w:ascii="Arial" w:cs="Arial" w:eastAsia="Arial" w:hAnsi="Arial"/>
            <w:color w:val="0563C1"/>
            <w:sz w:val="22"/>
            <w:szCs w:val="22"/>
            <w:u w:val="single"/>
          </w:rPr>
          <w:t xml:space="preserve">https://oneacrefund.org/publications/agronomic-survey-data</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7. Gross Margin Survey Data — Agricultural Project in Zimbabwe (USAID)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Zimbabwe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 – 2015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USAID Data Library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Données d'enquête sur les marges brutes agricoles collectées dans le cadre d'un projet USAID au Zimbabwe. Ces données permettent d'évaluer la rentabilité économique des différents systèmes de production agricole.</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Marges brutes par culture et par système de production, coûts des intrants agricoles, revenus issus des ventes de produits agricoles, comparaison de la rentabilité entre différentes pratiques culturales.</w:t>
      </w:r>
    </w:p>
    <w:p>
      <w:pPr>
        <w:spacing w:before="60" w:after="60"/>
      </w:pPr>
      <w:r>
        <w:rPr>
          <w:rFonts w:ascii="Arial" w:cs="Arial" w:eastAsia="Arial" w:hAnsi="Arial"/>
          <w:b/>
          <w:bCs/>
          <w:sz w:val="22"/>
          <w:szCs w:val="22"/>
        </w:rPr>
        <w:t xml:space="preserve">Lien de téléchargement : </w:t>
      </w:r>
      <w:hyperlink w:history="1" r:id="rId8mxrepsahfg8ngpxunige">
        <w:r>
          <w:rPr>
            <w:rFonts w:ascii="Arial" w:cs="Arial" w:eastAsia="Arial" w:hAnsi="Arial"/>
            <w:color w:val="0563C1"/>
            <w:sz w:val="22"/>
            <w:szCs w:val="22"/>
            <w:u w:val="single"/>
          </w:rPr>
          <w:t xml:space="preserve">https://data.usaid.gov/</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8. Méta-analyse : Agriculture de conservation vs. Labour conventionnel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1974 – 2017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Littérature scientifique compilée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bases de données bibliographiques</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Cette méta-analyse compile et synthétise les résultats de plusieurs décennies d'études comparatives entre l'agriculture de conservation (semis direct, couverture végétale permanente, rotation des cultures) et les pratiques de labour conventionnel à travers l'Afrique. Elle est utilisée pour évaluer l'impact moyen de ces pratiques sur les rendements et la durabilité des systèmes agricoles.</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Comparaison des rendements (agriculture de conservation vs. labour conventionnel), impacts sur la structure et la fertilité des sols, effets sur la conservation de l'eau, diversité des résultats selon les zones agro-écologiques, cultures et contextes socio-économiques.</w:t>
      </w:r>
    </w:p>
    <w:p>
      <w:pPr>
        <w:spacing w:before="60" w:after="60"/>
      </w:pPr>
      <w:r>
        <w:rPr>
          <w:rFonts w:ascii="Arial" w:cs="Arial" w:eastAsia="Arial" w:hAnsi="Arial"/>
          <w:i/>
          <w:iCs/>
          <w:sz w:val="22"/>
          <w:szCs w:val="22"/>
        </w:rPr>
        <w:t xml:space="preserve">Accès : Via Web of Science, Google Scholar, ou publications spécialisées en agronomie tropicale (ex. Field Crops Research, Agriculture, Ecosystems &amp; Environment).</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9. CEEPA African Agricultural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pays africains (Burkina Faso, Cameroun, Ghana, Niger, Sénégal, Égypte, Éthiopie, Kenya, Afrique du Sud, Zambie, Zimbabwe)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2002 – 2004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CEEPA (Univ. de Pretoria) / Banque Mondiale / FEM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20" w:after="60"/>
      </w:pPr>
    </w:p>
    <w:p>
      <w:pPr>
        <w:spacing w:before="200" w:after="100"/>
      </w:pPr>
      <w:r>
        <w:rPr>
          <w:rFonts w:ascii="Arial" w:cs="Arial" w:eastAsia="Arial" w:hAnsi="Arial"/>
          <w:b/>
          <w:bCs/>
          <w:color w:val="404040"/>
          <w:sz w:val="24"/>
          <w:szCs w:val="24"/>
        </w:rPr>
        <w:t xml:space="preserve">Description</w:t>
      </w:r>
    </w:p>
    <w:p>
      <w:pPr>
        <w:spacing w:before="60" w:after="60"/>
      </w:pPr>
      <w:r>
        <w:rPr>
          <w:rFonts w:ascii="Arial" w:cs="Arial" w:eastAsia="Arial" w:hAnsi="Arial"/>
          <w:sz w:val="22"/>
          <w:szCs w:val="22"/>
        </w:rPr>
        <w:t xml:space="preserve">Le CEEPA African Agricultural Survey a collecté des données auprès de plus de 9 500 ménages agricoles pendant les saisons 2002/2003 ou 2003/2004 dans onze pays africains représentatifs de toutes les grandes zones agro-climatiques du continent. Les ménages ont été sélectionnés aléatoirement dans des districts représentatifs des principaux systèmes de production.</w:t>
      </w:r>
    </w:p>
    <w:p>
      <w:pPr>
        <w:spacing w:before="200" w:after="100"/>
      </w:pPr>
      <w:r>
        <w:rPr>
          <w:rFonts w:ascii="Arial" w:cs="Arial" w:eastAsia="Arial" w:hAnsi="Arial"/>
          <w:b/>
          <w:bCs/>
          <w:color w:val="404040"/>
          <w:sz w:val="24"/>
          <w:szCs w:val="24"/>
        </w:rPr>
        <w:t xml:space="preserve">Sections couvertes</w:t>
      </w:r>
    </w:p>
    <w:p>
      <w:pPr>
        <w:spacing w:before="60" w:after="60"/>
      </w:pPr>
      <w:r>
        <w:rPr>
          <w:rFonts w:ascii="Arial" w:cs="Arial" w:eastAsia="Arial" w:hAnsi="Arial"/>
          <w:sz w:val="22"/>
          <w:szCs w:val="22"/>
        </w:rPr>
        <w:t xml:space="preserve">Revenus nets agricoles (cultures pluviales, cultures irriguées, élevage), stratégies d'adaptation au changement climatique, systèmes de production agricole, caractéristiques socio-économiques des ménages et des exploitations, accès aux marchés et aux intrants, perceptions des agriculteurs sur les changements climatiques.</w:t>
      </w:r>
    </w:p>
    <w:p>
      <w:pPr>
        <w:spacing w:before="60" w:after="60"/>
      </w:pPr>
      <w:r>
        <w:rPr>
          <w:rFonts w:ascii="Arial" w:cs="Arial" w:eastAsia="Arial" w:hAnsi="Arial"/>
          <w:b/>
          <w:bCs/>
          <w:sz w:val="22"/>
          <w:szCs w:val="22"/>
        </w:rPr>
        <w:t xml:space="preserve">Lien de téléchargement : </w:t>
      </w:r>
      <w:hyperlink w:history="1" r:id="rIdx3l3hgoqaruijtv3zimxm">
        <w:r>
          <w:rPr>
            <w:rFonts w:ascii="Arial" w:cs="Arial" w:eastAsia="Arial" w:hAnsi="Arial"/>
            <w:color w:val="0563C1"/>
            <w:sz w:val="22"/>
            <w:szCs w:val="22"/>
            <w:u w:val="single"/>
          </w:rPr>
          <w:t xml:space="preserve">https://springernature.figshare.com/articles/dataset/CEEPA_African_agricultural_survey/2069738</w:t>
        </w:r>
      </w:hyperlink>
    </w:p>
    <w:p>
      <w:pPr>
        <w:spacing w:before="60" w:after="60"/>
      </w:pPr>
      <w:r>
        <w:rPr>
          <w:rFonts w:ascii="Arial" w:cs="Arial" w:eastAsia="Arial" w:hAnsi="Arial"/>
          <w:b/>
          <w:bCs/>
          <w:sz w:val="22"/>
          <w:szCs w:val="22"/>
        </w:rPr>
        <w:t xml:space="preserve">Publication : </w:t>
      </w:r>
      <w:hyperlink w:history="1" r:id="rIdhjuwgggkloitrz6izeq5i">
        <w:r>
          <w:rPr>
            <w:rFonts w:ascii="Arial" w:cs="Arial" w:eastAsia="Arial" w:hAnsi="Arial"/>
            <w:color w:val="0563C1"/>
            <w:sz w:val="22"/>
            <w:szCs w:val="22"/>
            <w:u w:val="single"/>
          </w:rPr>
          <w:t xml:space="preserve">Scientific Data (2016) — https://doi.org/10.1038/sdata201620</w:t>
        </w:r>
      </w:hyperlink>
    </w:p>
    <w:p>
      <w:r>
        <w:br w:type="page"/>
      </w:r>
    </w:p>
    <w:p>
      <w:pPr>
        <w:pStyle w:val="Heading1"/>
        <w:spacing w:before="400" w:after="200"/>
      </w:pPr>
      <w:r>
        <w:rPr>
          <w:rFonts w:ascii="Arial" w:cs="Arial" w:eastAsia="Arial" w:hAnsi="Arial"/>
          <w:b/>
          <w:bCs/>
          <w:color w:val="1F497D"/>
          <w:sz w:val="32"/>
          <w:szCs w:val="32"/>
        </w:rPr>
        <w:t xml:space="preserve">II. Bases de données LSMS-ISA</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Présentation générale du programme LSMS-ISA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Nom complet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Living Standards Measurement Study – Integrated Surveys on Agriculture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Banque Mondiale (Development Research Group)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 général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(après enregistrement)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Portail principal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https://microdata.worldbank.org/index.php/catalog/lsms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Code harmonisé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https://github.com/lsms-worldbank</w:t>
            </w:r>
          </w:p>
        </w:tc>
      </w:tr>
    </w:tbl>
    <w:p>
      <w:pPr>
        <w:spacing w:before="120" w:after="60"/>
      </w:pPr>
    </w:p>
    <w:p>
      <w:pPr>
        <w:spacing w:before="200" w:after="100"/>
      </w:pPr>
      <w:r>
        <w:rPr>
          <w:rFonts w:ascii="Arial" w:cs="Arial" w:eastAsia="Arial" w:hAnsi="Arial"/>
          <w:b/>
          <w:bCs/>
          <w:color w:val="404040"/>
          <w:sz w:val="24"/>
          <w:szCs w:val="24"/>
        </w:rPr>
        <w:t xml:space="preserve">Description du programme</w:t>
      </w:r>
    </w:p>
    <w:p>
      <w:pPr>
        <w:spacing w:before="60" w:after="60"/>
      </w:pPr>
      <w:r>
        <w:rPr>
          <w:rFonts w:ascii="Arial" w:cs="Arial" w:eastAsia="Arial" w:hAnsi="Arial"/>
          <w:sz w:val="22"/>
          <w:szCs w:val="22"/>
        </w:rPr>
        <w:t xml:space="preserve">Le programme LSMS-ISA est un système unique d'enquêtes longitudinales (panel) conçu pour améliorer la compréhension du bien-être des ménages, des moyens d'existence et de l'agriculture des petits exploitants en Afrique subsaharienne. Il collabore avec les offices nationaux de statistiques pour concevoir et mettre en œuvre des enquêtes ménages représentatives au niveau national, multi-thématiques et à fort accent agricole.</w:t>
      </w:r>
    </w:p>
    <w:p>
      <w:pPr>
        <w:spacing w:before="200" w:after="100"/>
      </w:pPr>
      <w:r>
        <w:rPr>
          <w:rFonts w:ascii="Arial" w:cs="Arial" w:eastAsia="Arial" w:hAnsi="Arial"/>
          <w:b/>
          <w:bCs/>
          <w:color w:val="404040"/>
          <w:sz w:val="24"/>
          <w:szCs w:val="24"/>
        </w:rPr>
        <w:t xml:space="preserve">Sections communes à toutes les vagues LSMS-ISA</w:t>
      </w:r>
    </w:p>
    <w:p>
      <w:pPr>
        <w:spacing w:before="60" w:after="60"/>
      </w:pPr>
      <w:r>
        <w:rPr>
          <w:rFonts w:ascii="Arial" w:cs="Arial" w:eastAsia="Arial" w:hAnsi="Arial"/>
          <w:sz w:val="22"/>
          <w:szCs w:val="22"/>
        </w:rPr>
        <w:t xml:space="preserve">Module ménage : composition, caractéristiques démographiques, éducation, santé. Module agriculture : parcelles (superficie, tenure, géolocalisation GPS), cultures et variétés plantées, pratiques culturales, intrants (semences, engrais, pesticides), équipements agricoles, rendements et production. Module élevage : cheptel, produits de l'élevage, dépenses vétérinaires. Module revenus : revenus agricoles, revenus non agricoles, transferts et aides. Module consommation et dépenses : dépenses alimentaires et non-alimentaires, bien-être économique. Module sécurité alimentaire et nutrition. Module accès aux marchés, aux services financiers et aux infrastructures.</w:t>
      </w:r>
    </w:p>
    <w:p>
      <w:pPr>
        <w:spacing w:before="200" w:after="100"/>
      </w:pPr>
      <w:r>
        <w:rPr>
          <w:rFonts w:ascii="Arial" w:cs="Arial" w:eastAsia="Arial" w:hAnsi="Arial"/>
          <w:b/>
          <w:bCs/>
          <w:color w:val="404040"/>
          <w:sz w:val="24"/>
          <w:szCs w:val="24"/>
        </w:rPr>
        <w:t xml:space="preserve">Particularité des enquêtes EHCVM</w:t>
      </w:r>
    </w:p>
    <w:p>
      <w:pPr>
        <w:spacing w:before="60" w:after="60"/>
      </w:pPr>
      <w:r>
        <w:rPr>
          <w:rFonts w:ascii="Arial" w:cs="Arial" w:eastAsia="Arial" w:hAnsi="Arial"/>
          <w:sz w:val="22"/>
          <w:szCs w:val="22"/>
        </w:rPr>
        <w:t xml:space="preserve">Les enquêtes EHCVM (Enquête Harmonisée sur les Conditions de Vie des Ménages) couvrent les pays d'Afrique de l'Ouest francophone (UEMOA). Elles sont conçues pour permettre des comparaisons régionales harmonisées entre pays, avec des modules standardisés communs à l'ensemble des pays participants.</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Bénin — EHCVM (Enquête Harmonisée sur les Conditions de Vie des Ménages)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Bénin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National de la Statistique et de l'Analyse Économique (INSAE)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 sur le portail Banque Mondiale)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 2018</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kvl1bmucin-zkufagifqn">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Burkina Faso — EHCVM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Burkina Faso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National de la Statistique et de la Démographie (INSD)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 2018</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ln7bpwh2zcsph-sbxsmbz">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Côte d'Ivoire — EHCVM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Côte d'Ivoire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National de la Statistique (INS)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 – 2019</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ctylnax0miw_y1wx7aid3">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Éthiopie — ESS (Ethiopia Socioeconomic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Éthiopie (national, rural et péri-urbain)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Statistical Agency (CSA) d'Éthiopie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Spécificité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Intégré au recensement agricole annuel; vague 4 est un nouveau panel indépendant des vagues précédentes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ESS Wave 5 / Socio-Economic Panel Survey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 Wave 4 / Socioeconomic Survey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 – 2019</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ESS Wave 3 / Socioeconomic Survey 2015-2016</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2015 – 2016</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 Wave 2 / Socioeconomic Survey 2013-2014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2013 – 2014</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ESS Wave 1 / Rural Socioeconomic Survey 2011-2012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2011 – 2012</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xezsm-ubrdtzsogijrb_j">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Guinée-Bissau — IHCVM (Inquérito Harmonizado sobre as Condições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Guinée-Bissau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Instituto Nacional de Estatística (INE)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 2018</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rkbychr_225bnyt-kj01m">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Malawi — IHS (Integrated Household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Malawi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Statistical Office (NSO) du Malawi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IHS5 — Fifth Integrated Household Survey 2019-2020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2018 – 2019</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IHS4 — Fourth Integrated Household Survey 2016-2017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 – 2016</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IHS3 — Third Integrated Household Survey 2010-2011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2009 – 2010</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5xmc_o3nyia8usm_wmbqe">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Mali — EHCVM / EAC-I (Enquête Agricole de Conjoncture Intégrée)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National de la Statistique (INSTAT) du Mali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 2018</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EAC-I 2014 (Enquête Agricole de Conjoncture Intégrée)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2013 – 2014</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fdrbwmr6nvtrqtsjpvwuj">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Niger — EHCVM / ECVMA (Enquête sur les Conditions de Vie des Ménages et Agriculture)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Niger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National de la Statistique (INS) du Niger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ECVMA 2014 — National Survey on Household Living Conditions and Agriculture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2014 – 2015</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ECVMA 2011 — National Survey on Household Living Conditions and Agriculture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2011 – 2012</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d_3ren2cijjig7labpziv">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Nigeria — GHS-Panel (General Household Survey,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Nigeria (national, représentatif au niveau des États)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Bureau of Statistics (NBS) du Nigeria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Spécificité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Collecte annuelle en février-mars sur 22 000 ménages; composante panel tous les 2 ans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GHS-Panel Wave 4 — General Household Survey 2018-2019</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2018 – 2019</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GHS-Panel Wave 3 — General Household Survey 2015-2016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 – 2016</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GHS-Panel Wave 2 — General Household Survey 2012-2013</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2012 – 2013</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GHS-Panel Wave 1 — General Household Survey 2010-2011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 – 2011</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pxilg9q-np9ypzl5ug4pi">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Sénégal — EHCVM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Sénégal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Agence Nationale de la Statistique et de la Démographie (ANSD)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 – 2019</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lgxc-lcb_pf5s83p-_zvk">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Tanzanie — NPS (National Panel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Tanzanie continentale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Bureau of Statistics (NBS) de Tanzanie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Spécificité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L'une des séries panel les plus longues disponibles : 6 vagues sur 12+ ans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NPS Wave 5 — National Panel Survey 2020-21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2020 – 2021</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Extended Panel — National Panel Survey 2019-2020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 – 2019</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NPS Wave 4 — National Panel Survey 2014-2015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2014 – 2015</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Wave 3 — National Panel Survey 2012-2013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 – 2013</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NPS Wave 2 — National Panel Survey 2010-2011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2010 – 2011</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Wave 1 — National Panel Survey 2008-2009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 – 2009</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dzkj5qv1dga4uzzqip2qf">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Togo — EHCVM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Togo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National de la Statistique et des Études Économiques et Démographiques (INSEED)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EHCVM 2021-2022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 – 2022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EHCVM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 2018</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nf1x0t6lociinm5wxd5il">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Ouganda — UNPS (Uganda National Panel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Ouganda (national)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Gestionnaire national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Uganda Bureau of Statistics (UBoS)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Spécificité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Collecte annuelle depuis 2009; 8 vagues disponibles dont une dès 2004-2005</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Vague / Enquête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UNPS 2019-2020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2018 – 2019</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UNPS 2018-2019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 2018</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UNPS 2015-2016</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2015 – 2016</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UNPS 2013-2014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2013 – 2014</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UNPS 2011-2012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2011 – 2012</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UNPS 2010-2011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 – 2011</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UNPS 2009</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2009 – 2010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UNPS 2005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 – 2005</w:t>
            </w:r>
          </w:p>
        </w:tc>
      </w:tr>
    </w:tbl>
    <w:p>
      <w:pPr>
        <w:spacing w:before="120" w:after="60"/>
      </w:pPr>
    </w:p>
    <w:p>
      <w:pPr>
        <w:spacing w:before="60" w:after="60"/>
      </w:pPr>
      <w:r>
        <w:rPr>
          <w:rFonts w:ascii="Arial" w:cs="Arial" w:eastAsia="Arial" w:hAnsi="Arial"/>
          <w:b/>
          <w:bCs/>
          <w:sz w:val="22"/>
          <w:szCs w:val="22"/>
        </w:rPr>
        <w:t xml:space="preserve">Lien de téléchargement : </w:t>
      </w:r>
      <w:hyperlink w:history="1" r:id="rIdqonz3uemsjbrv-o56lfy9">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r>
        <w:br w:type="page"/>
      </w:r>
    </w:p>
    <w:p>
      <w:pPr>
        <w:pStyle w:val="Heading1"/>
        <w:spacing w:before="400" w:after="200"/>
      </w:pPr>
      <w:r>
        <w:rPr>
          <w:rFonts w:ascii="Arial" w:cs="Arial" w:eastAsia="Arial" w:hAnsi="Arial"/>
          <w:b/>
          <w:bCs/>
          <w:color w:val="1F497D"/>
          <w:sz w:val="32"/>
          <w:szCs w:val="32"/>
        </w:rPr>
        <w:t xml:space="preserve">III. Notes générales et conseils d'utilisation</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Accès aux données LSMS-ISA</w:t>
      </w:r>
    </w:p>
    <w:p>
      <w:pPr>
        <w:spacing w:before="60" w:after="60"/>
      </w:pPr>
      <w:r>
        <w:rPr>
          <w:rFonts w:ascii="Arial" w:cs="Arial" w:eastAsia="Arial" w:hAnsi="Arial"/>
          <w:sz w:val="22"/>
          <w:szCs w:val="22"/>
        </w:rPr>
        <w:t xml:space="preserve">Toutes les bases LSMS-ISA sont disponibles sur le portail Microdata de la Banque Mondiale (https://microdata.worldbank.org). Un enregistrement gratuit est requis pour télécharger les données. Les données sont ensuite disponibles dans des formats standards : Stata (.dta), SPSS (.sav), CSV, avec questionnaires et documents de métadonnées associés.</w:t>
      </w:r>
    </w:p>
    <w:p>
      <w:pPr>
        <w:spacing w:before="60" w:after="60"/>
      </w:pPr>
      <w:r>
        <w:rPr>
          <w:rFonts w:ascii="Arial" w:cs="Arial" w:eastAsia="Arial" w:hAnsi="Arial"/>
          <w:sz w:val="22"/>
          <w:szCs w:val="22"/>
        </w:rPr>
        <w:t xml:space="preserve">Les données collectées sont entièrement nettoyées, documentées et disponibles publiquement dans les 12 mois suivant la fin de chaque cycle d'enquête.</w:t>
      </w:r>
    </w:p>
    <w:p>
      <w:pPr>
        <w:pStyle w:val="Heading2"/>
        <w:spacing w:before="300" w:after="150"/>
      </w:pPr>
      <w:r>
        <w:rPr>
          <w:rFonts w:ascii="Arial" w:cs="Arial" w:eastAsia="Arial" w:hAnsi="Arial"/>
          <w:b/>
          <w:bCs/>
          <w:color w:val="2E75B6"/>
          <w:sz w:val="26"/>
          <w:szCs w:val="26"/>
        </w:rPr>
        <w:t xml:space="preserve">Codes de traitement harmonisés</w:t>
      </w:r>
    </w:p>
    <w:p>
      <w:pPr>
        <w:spacing w:before="60" w:after="60"/>
      </w:pPr>
      <w:r>
        <w:rPr>
          <w:rFonts w:ascii="Arial" w:cs="Arial" w:eastAsia="Arial" w:hAnsi="Arial"/>
          <w:sz w:val="22"/>
          <w:szCs w:val="22"/>
        </w:rPr>
        <w:t xml:space="preserve">Un dépôt GitHub centralise les codes de traitement et d'harmonisation des données LSMS-ISA entre pays, facilitant les analyses comparatives :</w:t>
      </w:r>
    </w:p>
    <w:p>
      <w:pPr>
        <w:spacing w:before="60" w:after="60"/>
      </w:pPr>
      <w:r>
        <w:rPr>
          <w:rFonts w:ascii="Arial" w:cs="Arial" w:eastAsia="Arial" w:hAnsi="Arial"/>
          <w:b/>
          <w:bCs/>
          <w:sz w:val="22"/>
          <w:szCs w:val="22"/>
        </w:rPr>
        <w:t xml:space="preserve">Lien de téléchargement : </w:t>
      </w:r>
      <w:hyperlink w:history="1" r:id="rIdurzkauxaea0x9eo6ywwu3">
        <w:r>
          <w:rPr>
            <w:rFonts w:ascii="Arial" w:cs="Arial" w:eastAsia="Arial" w:hAnsi="Arial"/>
            <w:color w:val="0563C1"/>
            <w:sz w:val="22"/>
            <w:szCs w:val="22"/>
            <w:u w:val="single"/>
          </w:rPr>
          <w:t xml:space="preserve">https://github.com/lsms-worldbank</w:t>
        </w:r>
      </w:hyperlink>
    </w:p>
    <w:p>
      <w:pPr>
        <w:pStyle w:val="Heading2"/>
        <w:spacing w:before="300" w:after="150"/>
      </w:pPr>
      <w:r>
        <w:rPr>
          <w:rFonts w:ascii="Arial" w:cs="Arial" w:eastAsia="Arial" w:hAnsi="Arial"/>
          <w:b/>
          <w:bCs/>
          <w:color w:val="2E75B6"/>
          <w:sz w:val="26"/>
          <w:szCs w:val="26"/>
        </w:rPr>
        <w:t xml:space="preserve">Données EHCVM — Sources alternatives</w:t>
      </w:r>
    </w:p>
    <w:p>
      <w:pPr>
        <w:spacing w:before="60" w:after="60"/>
      </w:pPr>
      <w:r>
        <w:rPr>
          <w:rFonts w:ascii="Arial" w:cs="Arial" w:eastAsia="Arial" w:hAnsi="Arial"/>
          <w:sz w:val="22"/>
          <w:szCs w:val="22"/>
        </w:rPr>
        <w:t xml:space="preserve">Les données EHCVM sont également accessibles via les portails nationaux des Instituts Nationaux de Statistiques (INS) respectifs de chaque pays membre de l'UEMOA, ainsi que via le portail open data de la Banque Mondiale (https://data.worldbank.org).</w:t>
      </w:r>
    </w:p>
    <w:p>
      <w:pPr>
        <w:pStyle w:val="Heading2"/>
        <w:spacing w:before="300" w:after="150"/>
      </w:pPr>
      <w:r>
        <w:rPr>
          <w:rFonts w:ascii="Arial" w:cs="Arial" w:eastAsia="Arial" w:hAnsi="Arial"/>
          <w:b/>
          <w:bCs/>
          <w:color w:val="2E75B6"/>
          <w:sz w:val="26"/>
          <w:szCs w:val="26"/>
        </w:rPr>
        <w:t xml:space="preserve">Pour les enquêtes FAOSTAT et bases mondiales</w:t>
      </w:r>
    </w:p>
    <w:p>
      <w:pPr>
        <w:spacing w:before="60" w:after="60"/>
      </w:pPr>
      <w:r>
        <w:rPr>
          <w:rFonts w:ascii="Arial" w:cs="Arial" w:eastAsia="Arial" w:hAnsi="Arial"/>
          <w:sz w:val="22"/>
          <w:szCs w:val="22"/>
        </w:rPr>
        <w:t xml:space="preserve">Ces bases nécessitent souvent un travail de sélection et de filtrage par pays ou région. FAOSTAT propose un outil de téléchargement par lots permettant de sélectionner les pays, indicateurs et années souhaités avant téléchargement.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97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jltvcnkcdfrhskqftgrt" Type="http://schemas.openxmlformats.org/officeDocument/2006/relationships/hyperlink" Target="https://www.fao.org/faostat/en/" TargetMode="External"/><Relationship Id="rIdqcguqbxf1rsahnflkhxdx" Type="http://schemas.openxmlformats.org/officeDocument/2006/relationships/hyperlink" Target="https://gaez.fao.org/pages/agromaps" TargetMode="External"/><Relationship Id="rIda0u0rte6-8sslurd-e1ce" Type="http://schemas.openxmlformats.org/officeDocument/2006/relationships/hyperlink" Target="https://www.resakss.org/" TargetMode="External"/><Relationship Id="rIdzebjeslvkzezvbpxh0zok" Type="http://schemas.openxmlformats.org/officeDocument/2006/relationships/hyperlink" Target="https://eatlas.resakss.org/" TargetMode="External"/><Relationship Id="rIda-_kxklc4euuu-tvtxzrr" Type="http://schemas.openxmlformats.org/officeDocument/2006/relationships/hyperlink" Target="https://github.com/HarvestStat/HarvestStat-Africa" TargetMode="External"/><Relationship Id="rIdd5ob_n17uwvptr46xk023" Type="http://schemas.openxmlformats.org/officeDocument/2006/relationships/hyperlink" Target="https://datadryad.org/dataset/doi:10.5061/dryad.vq83bk42w" TargetMode="External"/><Relationship Id="rIdwfxa63rlou8os1xhjckac" Type="http://schemas.openxmlformats.org/officeDocument/2006/relationships/hyperlink" Target="https://doi.org/10.1038/s41597-025-05001-z" TargetMode="External"/><Relationship Id="rIdw8fp14avf3wqsqyhfbknc" Type="http://schemas.openxmlformats.org/officeDocument/2006/relationships/hyperlink" Target="https://data.usaid.gov/" TargetMode="External"/><Relationship Id="rIdipacbj9bh838up0tl1tmf" Type="http://schemas.openxmlformats.org/officeDocument/2006/relationships/hyperlink" Target="https://oneacrefund.org/publications/agronomic-survey-data" TargetMode="External"/><Relationship Id="rId8mxrepsahfg8ngpxunige" Type="http://schemas.openxmlformats.org/officeDocument/2006/relationships/hyperlink" Target="https://data.usaid.gov/" TargetMode="External"/><Relationship Id="rIdx3l3hgoqaruijtv3zimxm" Type="http://schemas.openxmlformats.org/officeDocument/2006/relationships/hyperlink" Target="https://springernature.figshare.com/articles/dataset/CEEPA_African_agricultural_survey/2069738" TargetMode="External"/><Relationship Id="rIdhjuwgggkloitrz6izeq5i" Type="http://schemas.openxmlformats.org/officeDocument/2006/relationships/hyperlink" Target="https://doi.org/10.1038/sdata201620" TargetMode="External"/><Relationship Id="rIdkvl1bmucin-zkufagifqn" Type="http://schemas.openxmlformats.org/officeDocument/2006/relationships/hyperlink" Target="https://microdata.worldbank.org/index.php/catalog/lsms" TargetMode="External"/><Relationship Id="rIdln7bpwh2zcsph-sbxsmbz" Type="http://schemas.openxmlformats.org/officeDocument/2006/relationships/hyperlink" Target="https://microdata.worldbank.org/index.php/catalog/lsms" TargetMode="External"/><Relationship Id="rIdctylnax0miw_y1wx7aid3" Type="http://schemas.openxmlformats.org/officeDocument/2006/relationships/hyperlink" Target="https://microdata.worldbank.org/index.php/catalog/lsms" TargetMode="External"/><Relationship Id="rIdxezsm-ubrdtzsogijrb_j" Type="http://schemas.openxmlformats.org/officeDocument/2006/relationships/hyperlink" Target="https://microdata.worldbank.org/index.php/catalog/lsms" TargetMode="External"/><Relationship Id="rIdrkbychr_225bnyt-kj01m" Type="http://schemas.openxmlformats.org/officeDocument/2006/relationships/hyperlink" Target="https://microdata.worldbank.org/index.php/catalog/lsms" TargetMode="External"/><Relationship Id="rId5xmc_o3nyia8usm_wmbqe" Type="http://schemas.openxmlformats.org/officeDocument/2006/relationships/hyperlink" Target="https://microdata.worldbank.org/index.php/catalog/lsms" TargetMode="External"/><Relationship Id="rIdfdrbwmr6nvtrqtsjpvwuj" Type="http://schemas.openxmlformats.org/officeDocument/2006/relationships/hyperlink" Target="https://microdata.worldbank.org/index.php/catalog/lsms" TargetMode="External"/><Relationship Id="rIdd_3ren2cijjig7labpziv" Type="http://schemas.openxmlformats.org/officeDocument/2006/relationships/hyperlink" Target="https://microdata.worldbank.org/index.php/catalog/lsms" TargetMode="External"/><Relationship Id="rIdpxilg9q-np9ypzl5ug4pi" Type="http://schemas.openxmlformats.org/officeDocument/2006/relationships/hyperlink" Target="https://microdata.worldbank.org/index.php/catalog/lsms" TargetMode="External"/><Relationship Id="rIdlgxc-lcb_pf5s83p-_zvk" Type="http://schemas.openxmlformats.org/officeDocument/2006/relationships/hyperlink" Target="https://microdata.worldbank.org/index.php/catalog/lsms" TargetMode="External"/><Relationship Id="rIddzkj5qv1dga4uzzqip2qf" Type="http://schemas.openxmlformats.org/officeDocument/2006/relationships/hyperlink" Target="https://microdata.worldbank.org/index.php/catalog/lsms" TargetMode="External"/><Relationship Id="rIdnf1x0t6lociinm5wxd5il" Type="http://schemas.openxmlformats.org/officeDocument/2006/relationships/hyperlink" Target="https://microdata.worldbank.org/index.php/catalog/lsms" TargetMode="External"/><Relationship Id="rIdqonz3uemsjbrv-o56lfy9" Type="http://schemas.openxmlformats.org/officeDocument/2006/relationships/hyperlink" Target="https://microdata.worldbank.org/index.php/catalog/lsms" TargetMode="External"/><Relationship Id="rIdurzkauxaea0x9eo6ywwu3" Type="http://schemas.openxmlformats.org/officeDocument/2006/relationships/hyperlink" Target="https://github.com/lsms-worldbank" TargetMode="Externa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2026-02-24T22:00:41.395Z</dcterms:created>
  <dcterms:modified xsi:type="dcterms:W3CDTF">2026-02-24T22:00:41.396Z</dcterms:modified>
</cp:coreProperties>
</file>

<file path=docProps/custom.xml><?xml version="1.0" encoding="utf-8"?>
<Properties xmlns="http://schemas.openxmlformats.org/officeDocument/2006/custom-properties" xmlns:vt="http://schemas.openxmlformats.org/officeDocument/2006/docPropsVTypes"/>
</file>