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2.png" ContentType="image/png"/>
  <Override PartName="/word/media/rId38.png" ContentType="image/png"/>
  <Override PartName="/word/media/rId33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Profil Démographique des Ménages Nigérians</w:t>
      </w:r>
    </w:p>
    <w:p>
      <w:pPr>
        <w:pStyle w:val="Subtitle"/>
      </w:pPr>
      <w:r>
        <w:t xml:space="preserve">Nigeria General Household Survey Panel — Vague 4 (2018)</w:t>
      </w:r>
    </w:p>
    <w:p>
      <w:pPr>
        <w:pStyle w:val="Author"/>
      </w:pPr>
      <w:r>
        <w:t xml:space="preserve">Cheikh Mouhamdou Moustapha Ndiaye &amp; Awa Ba</w:t>
      </w:r>
    </w:p>
    <w:p>
      <w:pPr>
        <w:pStyle w:val="Date"/>
      </w:pPr>
      <w:r>
        <w:t xml:space="preserve">24 mars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Le Nigéria est le pays le plus peuplé d’Afrique subsaharienne avec plus de 200 millions d’habitants. Sa démographie, en forte expansion, constitue à la fois un défi et une opportunité pour le développement. Comprendre la structure de sa population est un préalable indispensable à toute politique publique ciblée.</w:t>
      </w:r>
    </w:p>
    <w:p>
      <w:pPr>
        <w:pStyle w:val="BodyText"/>
      </w:pPr>
      <w:r>
        <w:t xml:space="preserve">Ce rapport analyse les données du</w:t>
      </w:r>
      <w:r>
        <w:t xml:space="preserve"> </w:t>
      </w:r>
      <w:r>
        <w:rPr>
          <w:b/>
          <w:bCs/>
        </w:rPr>
        <w:t xml:space="preserve">General Household Survey Panel Wave 4 (GHS-W4, 2018)</w:t>
      </w:r>
      <w:r>
        <w:t xml:space="preserve">, enquête longitudinale représentative à l’échelle nationale conduite par le Bureau National des Statistiques (NBS) du Nigéria. Six dimensions sont examinées : qualité des données, structure par âge, pyramide démographique, composition intra-ménage, taille des ménages selon le milieu, et disparités géographiques.</w:t>
      </w:r>
    </w:p>
    <w:p>
      <w:pPr>
        <w:pStyle w:val="BodyText"/>
      </w:pPr>
      <w:r>
        <w:rPr>
          <w:b/>
          <w:bCs/>
        </w:rPr>
        <w:t xml:space="preserve">Note méthodologique — Filtre :</w:t>
      </w:r>
      <w:r>
        <w:t xml:space="preserve"> </w:t>
      </w:r>
      <w:r>
        <w:t xml:space="preserve">Le fichier</w:t>
      </w:r>
      <w:r>
        <w:t xml:space="preserve"> </w:t>
      </w:r>
      <w:r>
        <w:rPr>
          <w:rStyle w:val="VerbatimChar"/>
        </w:rPr>
        <w:t xml:space="preserve">sect1_harvestw4.dta</w:t>
      </w:r>
      <w:r>
        <w:t xml:space="preserve"> </w:t>
      </w:r>
      <w:r>
        <w:t xml:space="preserve">contient des membres ayant quitté le ménage entre vagues (</w:t>
      </w:r>
      <w:r>
        <w:rPr>
          <w:rStyle w:val="VerbatimChar"/>
        </w:rPr>
        <w:t xml:space="preserve">s1q4a = code 2</w:t>
      </w:r>
      <w:r>
        <w:t xml:space="preserve">). Ces 3 780 individus sont exclus. L’analyse porte sur</w:t>
      </w:r>
      <w:r>
        <w:t xml:space="preserve"> </w:t>
      </w:r>
      <w:r>
        <w:rPr>
          <w:b/>
          <w:bCs/>
        </w:rPr>
        <w:t xml:space="preserve">26 557</w:t>
      </w:r>
      <w:r>
        <w:t xml:space="preserve"> </w:t>
      </w:r>
      <w:r>
        <w:t xml:space="preserve">membres présents dans</w:t>
      </w:r>
      <w:r>
        <w:t xml:space="preserve"> </w:t>
      </w:r>
      <w:r>
        <w:rPr>
          <w:b/>
          <w:bCs/>
        </w:rPr>
        <w:t xml:space="preserve">4 980</w:t>
      </w:r>
      <w:r>
        <w:t xml:space="preserve"> </w:t>
      </w:r>
      <w:r>
        <w:t xml:space="preserve">ménages.</w:t>
      </w:r>
    </w:p>
    <w:p>
      <w:pPr>
        <w:pStyle w:val="BodyText"/>
      </w:pPr>
      <w:r>
        <w:rPr>
          <w:b/>
          <w:bCs/>
        </w:rPr>
        <w:t xml:space="preserve">Note méthodologique — Pondération :</w:t>
      </w:r>
      <w:r>
        <w:t xml:space="preserve"> </w:t>
      </w:r>
      <w:r>
        <w:t xml:space="preserve">Le poids de sondage</w:t>
      </w:r>
      <w:r>
        <w:t xml:space="preserve"> </w:t>
      </w:r>
      <w:r>
        <w:rPr>
          <w:rStyle w:val="VerbatimChar"/>
          <w:b/>
          <w:bCs/>
        </w:rPr>
        <w:t xml:space="preserve">wt_wave4</w:t>
      </w:r>
      <w:r>
        <w:t xml:space="preserve"> </w:t>
      </w:r>
      <w:r>
        <w:t xml:space="preserve">(niveau ménage, issu de</w:t>
      </w:r>
      <w:r>
        <w:t xml:space="preserve"> </w:t>
      </w:r>
      <w:r>
        <w:rPr>
          <w:rStyle w:val="VerbatimChar"/>
        </w:rPr>
        <w:t xml:space="preserve">secta_harvestw4.dta</w:t>
      </w:r>
      <w:r>
        <w:t xml:space="preserve">) est joint à chaque individu via</w:t>
      </w:r>
      <w:r>
        <w:t xml:space="preserve"> </w:t>
      </w:r>
      <w:r>
        <w:rPr>
          <w:rStyle w:val="VerbatimChar"/>
        </w:rPr>
        <w:t xml:space="preserve">hhid</w:t>
      </w:r>
      <w:r>
        <w:t xml:space="preserve"> </w:t>
      </w:r>
      <w:r>
        <w:t xml:space="preserve">et appliqué à toutes les analyses. Les effectifs pondérés représentent la population réelle estimée.</w:t>
      </w:r>
    </w:p>
    <w:p>
      <w:r>
        <w:pict>
          <v:rect style="width:0;height:1.5pt" o:hralign="center" o:hrstd="t" o:hr="t"/>
        </w:pict>
      </w:r>
    </w:p>
    <w:bookmarkEnd w:id="20"/>
    <w:bookmarkStart w:id="26" w:name="qualité-et-structure-des-donnée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Qualité et structure des données</w:t>
      </w:r>
    </w:p>
    <w:bookmarkStart w:id="21" w:name="dimensions-de-léchantillo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Dimensions de l’échantillon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Dimensions et qualité de l'échantillon analytique — GHS W4 (2018)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02"/>
        <w:gridCol w:w="2268"/>
      </w:tblGrid>
      <w:tr>
        <w:trPr>
          <w:trHeight w:val="571" w:hRule="auto"/>
          <w:tblHeader/>
        </w:trPr>
        <w:tc>
          <w:tcPr>
            <w:tcBorders>
              <w:bottom w:val="single" w:sz="16" w:space="0" w:color="003E74"/>
              <w:top w:val="single" w:sz="12" w:space="0" w:color="666666"/>
              <w:left w:val="none" w:sz="0" w:space="0" w:color="000000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Indicateur</w:t>
            </w:r>
          </w:p>
        </w:tc>
        <w:tc>
          <w:tcPr>
            <w:tcBorders>
              <w:bottom w:val="single" w:sz="16" w:space="0" w:color="003E74"/>
              <w:top w:val="single" w:sz="12" w:space="0" w:color="666666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Valeur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FC9CA"/>
              <w:top w:val="single" w:sz="16" w:space="0" w:color="003E74"/>
              <w:left w:val="none" w:sz="0" w:space="0" w:color="000000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Individus présents (après filtre s1q4a)</w:t>
            </w:r>
          </w:p>
        </w:tc>
        <w:tc>
          <w:tcPr>
            <w:tcBorders>
              <w:bottom w:val="single" w:sz="4" w:space="0" w:color="BFC9CA"/>
              <w:top w:val="single" w:sz="16" w:space="0" w:color="003E74"/>
              <w:left w:val="single" w:sz="4" w:space="0" w:color="BFC9CA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  <w:t xml:space="preserve">26 557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FC9CA"/>
              <w:top w:val="single" w:sz="4" w:space="0" w:color="BFC9CA"/>
              <w:left w:val="none" w:sz="0" w:space="0" w:color="000000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Individus exclus (membres absents, s1q4a=2)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  <w:t xml:space="preserve">3 780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FC9CA"/>
              <w:top w:val="single" w:sz="4" w:space="0" w:color="BFC9CA"/>
              <w:left w:val="none" w:sz="0" w:space="0" w:color="000000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Ménages enquêtés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  <w:t xml:space="preserve">4 980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BFC9CA"/>
              <w:top w:val="single" w:sz="4" w:space="0" w:color="BFC9CA"/>
              <w:left w:val="none" w:sz="0" w:space="0" w:color="000000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États fédéraux couverts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FC9CA"/>
              <w:top w:val="single" w:sz="4" w:space="0" w:color="BFC9CA"/>
              <w:left w:val="none" w:sz="0" w:space="0" w:color="000000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Zones géopolitiques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  <w:t xml:space="preserve">6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FC9CA"/>
              <w:top w:val="single" w:sz="4" w:space="0" w:color="BFC9CA"/>
              <w:left w:val="none" w:sz="0" w:space="0" w:color="000000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Individus avec poids wt_wave4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  <w:t xml:space="preserve">26 533 (99.9%)</w:t>
            </w:r>
          </w:p>
        </w:tc>
      </w:tr>
      <w:tr>
        <w:trPr>
          <w:trHeight w:val="655" w:hRule="auto"/>
        </w:trPr>
        <w:tc>
          <w:tcPr>
            <w:tcBorders>
              <w:bottom w:val="single" w:sz="4" w:space="0" w:color="BFC9CA"/>
              <w:top w:val="single" w:sz="4" w:space="0" w:color="BFC9CA"/>
              <w:left w:val="none" w:sz="0" w:space="0" w:color="000000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NA — Âge (s1q4)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  <w:t xml:space="preserve">0 (0.00%)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FC9CA"/>
              <w:top w:val="single" w:sz="4" w:space="0" w:color="BFC9CA"/>
              <w:left w:val="none" w:sz="0" w:space="0" w:color="000000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NA — Sexe (s1q2)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  <w:t xml:space="preserve">0 (0.00%)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FC9CA"/>
              <w:top w:val="single" w:sz="4" w:space="0" w:color="BFC9CA"/>
              <w:left w:val="none" w:sz="0" w:space="0" w:color="000000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NA — Lien de parenté (s1q3)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  <w:t xml:space="preserve">0 (0.00%)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FC9CA"/>
              <w:top w:val="single" w:sz="4" w:space="0" w:color="BFC9CA"/>
              <w:left w:val="none" w:sz="0" w:space="0" w:color="000000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NA — Milieu de résidence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  <w:t xml:space="preserve">0 (0.00%)</w:t>
            </w:r>
          </w:p>
        </w:tc>
      </w:tr>
    </w:tbl>
    <w:bookmarkEnd w:id="21"/>
    <w:bookmarkStart w:id="25" w:name="valeurs-manquante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Valeurs manquantes</w:t>
      </w:r>
    </w:p>
    <w:p>
      <w:pPr>
        <w:pStyle w:val="CaptionedFigure"/>
      </w:pPr>
      <w:r>
        <w:drawing>
          <wp:inline>
            <wp:extent cx="3733800" cy="1866900"/>
            <wp:effectExtent b="0" l="0" r="0" t="0"/>
            <wp:docPr descr="Taux de valeurs manquantes par variable clé — membres présents." title="" id="23" name="Picture"/>
            <a:graphic>
              <a:graphicData uri="http://schemas.openxmlformats.org/drawingml/2006/picture">
                <pic:pic>
                  <pic:nvPicPr>
                    <pic:cNvPr descr="TP1_Rapport_Demographie_files/figure-docx/fig_miss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Taux de valeurs manquantes par variable clé — membres présents.</w:t>
      </w:r>
    </w:p>
    <w:p>
      <w:pPr>
        <w:pStyle w:val="BodyText"/>
      </w:pPr>
      <w:r>
        <w:rPr>
          <w:b/>
          <w:bCs/>
        </w:rPr>
        <w:t xml:space="preserve">Interprétation :</w:t>
      </w:r>
      <w:r>
        <w:t xml:space="preserve"> </w:t>
      </w:r>
      <w:r>
        <w:t xml:space="preserve">La qualité des données est globalement excellente. Le sexe et l’âge (NA 0%) sont quasi-complets. Le lien de parenté (0% de NA) et le milieu (0% de NA) présentent les taux les plus élevés mais restent très faibles. Les poids</w:t>
      </w:r>
      <w:r>
        <w:t xml:space="preserve"> </w:t>
      </w:r>
      <w:r>
        <w:rPr>
          <w:rStyle w:val="VerbatimChar"/>
        </w:rPr>
        <w:t xml:space="preserve">wt_wave4</w:t>
      </w:r>
      <w:r>
        <w:t xml:space="preserve"> </w:t>
      </w:r>
      <w:r>
        <w:t xml:space="preserve">couvrent 99.9% des individus.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analyse-univariée-de-lâge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Analyse univariée de l’âge</w:t>
      </w:r>
    </w:p>
    <w:bookmarkStart w:id="27" w:name="statistiques-descriptives-pondérée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Statistiques descriptives pondérées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Statistiques descriptives pondérées de l'âge — GHS W4 (2018)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3969"/>
      </w:tblGrid>
      <w:tr>
        <w:trPr>
          <w:trHeight w:val="615" w:hRule="auto"/>
          <w:tblHeader/>
        </w:trPr>
        <w:tc>
          <w:tcPr>
            <w:tcBorders>
              <w:bottom w:val="single" w:sz="16" w:space="0" w:color="003E74"/>
              <w:top w:val="single" w:sz="12" w:space="0" w:color="666666"/>
              <w:left w:val="none" w:sz="0" w:space="0" w:color="000000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Statistique</w:t>
            </w:r>
          </w:p>
        </w:tc>
        <w:tc>
          <w:tcPr>
            <w:tcBorders>
              <w:bottom w:val="single" w:sz="16" w:space="0" w:color="003E74"/>
              <w:top w:val="single" w:sz="12" w:space="0" w:color="666666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Valeur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FC9CA"/>
              <w:top w:val="single" w:sz="16" w:space="0" w:color="003E74"/>
              <w:left w:val="none" w:sz="0" w:space="0" w:color="000000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renseigné (brut)</w:t>
            </w:r>
          </w:p>
        </w:tc>
        <w:tc>
          <w:tcPr>
            <w:tcBorders>
              <w:bottom w:val="single" w:sz="4" w:space="0" w:color="BFC9CA"/>
              <w:top w:val="single" w:sz="16" w:space="0" w:color="003E74"/>
              <w:left w:val="single" w:sz="4" w:space="0" w:color="BFC9CA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  <w:t xml:space="preserve">26 556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FC9CA"/>
              <w:top w:val="single" w:sz="4" w:space="0" w:color="BFC9CA"/>
              <w:left w:val="none" w:sz="0" w:space="0" w:color="000000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Moyenne pondérée (wt_wave4)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  <w:t xml:space="preserve">23.2 ans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FC9CA"/>
              <w:top w:val="single" w:sz="4" w:space="0" w:color="BFC9CA"/>
              <w:left w:val="none" w:sz="0" w:space="0" w:color="000000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Médiane pondérée (wt_wave4)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  <w:t xml:space="preserve">17 ans</w:t>
            </w:r>
          </w:p>
        </w:tc>
      </w:tr>
      <w:tr>
        <w:trPr>
          <w:trHeight w:val="656" w:hRule="auto"/>
        </w:trPr>
        <w:tc>
          <w:tcPr>
            <w:tcBorders>
              <w:bottom w:val="single" w:sz="4" w:space="0" w:color="BFC9CA"/>
              <w:top w:val="single" w:sz="4" w:space="0" w:color="BFC9CA"/>
              <w:left w:val="none" w:sz="0" w:space="0" w:color="000000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Écart-type pondéré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  <w:t xml:space="preserve">19.3 ans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BFC9CA"/>
              <w:top w:val="single" w:sz="4" w:space="0" w:color="BFC9CA"/>
              <w:left w:val="none" w:sz="0" w:space="0" w:color="000000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Q1 pondéré — Q3 pondéré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  <w:t xml:space="preserve">8 — 35 ans</w:t>
            </w:r>
          </w:p>
        </w:tc>
      </w:tr>
      <w:tr>
        <w:trPr>
          <w:trHeight w:val="656" w:hRule="auto"/>
        </w:trPr>
        <w:tc>
          <w:tcPr>
            <w:tcBorders>
              <w:bottom w:val="single" w:sz="4" w:space="0" w:color="BFC9CA"/>
              <w:top w:val="single" w:sz="4" w:space="0" w:color="BFC9CA"/>
              <w:left w:val="none" w:sz="0" w:space="0" w:color="000000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Étendue (Min — Max)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  <w:t xml:space="preserve">0 — 100 ans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FC9CA"/>
              <w:top w:val="single" w:sz="4" w:space="0" w:color="BFC9CA"/>
              <w:left w:val="none" w:sz="0" w:space="0" w:color="000000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Coefficient de variation pondéré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  <w:t xml:space="preserve">83.3% (forte hétérogénéité)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FC9CA"/>
              <w:top w:val="single" w:sz="4" w:space="0" w:color="BFC9CA"/>
              <w:left w:val="none" w:sz="0" w:space="0" w:color="000000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Asymétrie de Pearson pondérée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  <w:t xml:space="preserve">0.960 (asymétrie à droite)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BFC9CA"/>
              <w:top w:val="single" w:sz="4" w:space="0" w:color="BFC9CA"/>
              <w:left w:val="none" w:sz="0" w:space="0" w:color="000000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de Shapiro-Wilk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  <w:t xml:space="preserve">W = 0.8983, p &lt; 0.001 — NON-NORMALE</w:t>
            </w:r>
          </w:p>
        </w:tc>
      </w:tr>
    </w:tbl>
    <w:bookmarkEnd w:id="27"/>
    <w:bookmarkStart w:id="31" w:name="distribution-graphique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Distribution graphique</w:t>
      </w:r>
    </w:p>
    <w:p>
      <w:pPr>
        <w:pStyle w:val="CaptionedFigure"/>
      </w:pPr>
      <w:r>
        <w:drawing>
          <wp:inline>
            <wp:extent cx="4597541" cy="2298770"/>
            <wp:effectExtent b="0" l="0" r="0" t="0"/>
            <wp:docPr descr="Histogramme pondéré et boîte à moustaches de l’âge — GHS W4 (2018)." title="" id="29" name="Picture"/>
            <a:graphic>
              <a:graphicData uri="http://schemas.openxmlformats.org/drawingml/2006/picture">
                <pic:pic>
                  <pic:nvPicPr>
                    <pic:cNvPr descr="TP1_Rapport_Demographie_files/figure-docx/fig_age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541" cy="2298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Histogramme pondéré et boîte à moustaches de l’âge — GHS W4 (2018).</w:t>
      </w:r>
    </w:p>
    <w:p>
      <w:pPr>
        <w:pStyle w:val="BodyText"/>
      </w:pPr>
      <w:r>
        <w:rPr>
          <w:b/>
          <w:bCs/>
        </w:rPr>
        <w:t xml:space="preserve">Interprétation :</w:t>
      </w:r>
      <w:r>
        <w:t xml:space="preserve"> </w:t>
      </w:r>
      <w:r>
        <w:t xml:space="preserve">La distribution des âges est fortement</w:t>
      </w:r>
      <w:r>
        <w:t xml:space="preserve"> </w:t>
      </w:r>
      <w:r>
        <w:rPr>
          <w:b/>
          <w:bCs/>
        </w:rPr>
        <w:t xml:space="preserve">asymétrique à droite</w:t>
      </w:r>
      <w:r>
        <w:t xml:space="preserve"> </w:t>
      </w:r>
      <w:r>
        <w:t xml:space="preserve">(asymétrie de Pearson pondérée = 0.96) : la classe 0–4 ans est la plus peuplée, la médiane pondérée (17 ans) est nettement inférieure à la moyenne pondérée (23.2 ans), et le coefficient de variation (83.3%) traduit une hétérogénéité élevée. La distribution est non-normale (Shapiro-Wilk,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= 0.8983,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0,001) : tous les tests comparatifs ultérieurs sont non paramétriques.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pyramide-des-âge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Pyramide des âges</w:t>
      </w:r>
    </w:p>
    <w:bookmarkStart w:id="36" w:name="structure-par-âge-et-par-sexe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Structure par âge et par sexe</w:t>
      </w:r>
    </w:p>
    <w:p>
      <w:pPr>
        <w:pStyle w:val="CaptionedFigure"/>
      </w:pPr>
      <w:r>
        <w:drawing>
          <wp:inline>
            <wp:extent cx="5067300" cy="4740377"/>
            <wp:effectExtent b="0" l="0" r="0" t="0"/>
            <wp:docPr descr="Pyramide des âges pondérée par groupes quinquennaux — GHS W4, Nigeria (2018)." title="" id="34" name="Picture"/>
            <a:graphic>
              <a:graphicData uri="http://schemas.openxmlformats.org/drawingml/2006/picture">
                <pic:pic>
                  <pic:nvPicPr>
                    <pic:cNvPr descr="TP1_Rapport_Demographie_files/figure-docx/fig_pyr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740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Pyramide des âges pondérée par groupes quinquennaux — GHS W4, Nigeria (2018).</w:t>
      </w:r>
    </w:p>
    <w:p>
      <w:pPr>
        <w:pStyle w:val="BodyText"/>
      </w:pPr>
      <w:r>
        <w:rPr>
          <w:b/>
          <w:bCs/>
        </w:rPr>
        <w:t xml:space="preserve">Interprétation :</w:t>
      </w:r>
      <w:r>
        <w:t xml:space="preserve"> </w:t>
      </w:r>
      <w:r>
        <w:t xml:space="preserve">La pyramide dessine une forme caractéristique de</w:t>
      </w:r>
      <w:r>
        <w:t xml:space="preserve"> </w:t>
      </w:r>
      <w:r>
        <w:rPr>
          <w:b/>
          <w:bCs/>
        </w:rPr>
        <w:t xml:space="preserve">“sapin”</w:t>
      </w:r>
      <w:r>
        <w:rPr>
          <w:b/>
          <w:bCs/>
        </w:rPr>
        <w:t xml:space="preserve"> </w:t>
      </w:r>
      <w:r>
        <w:rPr>
          <w:b/>
          <w:bCs/>
        </w:rPr>
        <w:t xml:space="preserve">à base élargie</w:t>
      </w:r>
      <w:r>
        <w:t xml:space="preserve">, typique des pays en début de transition démographique. La tranche</w:t>
      </w:r>
      <w:r>
        <w:t xml:space="preserve"> </w:t>
      </w:r>
      <w:r>
        <w:rPr>
          <w:b/>
          <w:bCs/>
        </w:rPr>
        <w:t xml:space="preserve">0–14 ans</w:t>
      </w:r>
      <w:r>
        <w:t xml:space="preserve"> </w:t>
      </w:r>
      <w:r>
        <w:t xml:space="preserve">est la plus large, traduisant une fécondité soutenue. Le rétrécissement régulier vers les âges adultes reflète une mortalité encore significative, et le sommet étroit (65+ ans) indique une faible proportion de personnes âgées. La quasi-parité H/F pondérée (98.1 hommes pour 100 femmes) est conforme aux données biologiques.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lien-de-parenté-et-taille-des-ménage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Lien de parenté et taille des ménages</w:t>
      </w:r>
    </w:p>
    <w:bookmarkStart w:id="41" w:name="graphiques-parenté-et-taille-des-ménages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Graphiques : parenté et taille des ménages</w:t>
      </w:r>
    </w:p>
    <w:p>
      <w:pPr>
        <w:pStyle w:val="CaptionedFigure"/>
      </w:pPr>
      <w:r>
        <w:drawing>
          <wp:inline>
            <wp:extent cx="4597541" cy="2942426"/>
            <wp:effectExtent b="0" l="0" r="0" t="0"/>
            <wp:docPr descr="Lien de parenté pondéré (IC 95%) et taille des ménages par milieu." title="" id="39" name="Picture"/>
            <a:graphic>
              <a:graphicData uri="http://schemas.openxmlformats.org/drawingml/2006/picture">
                <pic:pic>
                  <pic:nvPicPr>
                    <pic:cNvPr descr="TP1_Rapport_Demographie_files/figure-docx/fig_parente_hh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541" cy="2942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Lien de parenté pondéré (IC 95%) et taille des ménages par milieu.</w:t>
      </w:r>
    </w:p>
    <w:bookmarkEnd w:id="41"/>
    <w:bookmarkStart w:id="42" w:name="X8efdb401b4f0e2af5ff6a5dca1af6eb822caa37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Tableau : répartition pondérée des liens de parenté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Répartition pondérée des liens de parenté (Top 7) avec IC 95%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37"/>
        <w:gridCol w:w="1205"/>
        <w:gridCol w:w="2036"/>
        <w:gridCol w:w="1523"/>
        <w:gridCol w:w="1645"/>
      </w:tblGrid>
      <w:tr>
        <w:trPr>
          <w:trHeight w:val="617" w:hRule="auto"/>
          <w:tblHeader/>
        </w:trPr>
        <w:tc>
          <w:tcPr>
            <w:tcBorders>
              <w:bottom w:val="single" w:sz="16" w:space="0" w:color="003E74"/>
              <w:top w:val="single" w:sz="12" w:space="0" w:color="666666"/>
              <w:left w:val="none" w:sz="0" w:space="0" w:color="000000"/>
              <w:right w:val="single" w:sz="4" w:space="0" w:color="BFC9CA"/>
            </w:tcBorders>
            <w:shd w:val="clear" w:color="auto" w:fill="003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Lien de parenté</w:t>
            </w:r>
          </w:p>
        </w:tc>
        <w:tc>
          <w:tcPr>
            <w:tcBorders>
              <w:bottom w:val="single" w:sz="16" w:space="0" w:color="003E74"/>
              <w:top w:val="single" w:sz="12" w:space="0" w:color="666666"/>
              <w:left w:val="single" w:sz="4" w:space="0" w:color="BFC9CA"/>
              <w:right w:val="single" w:sz="4" w:space="0" w:color="BFC9CA"/>
            </w:tcBorders>
            <w:shd w:val="clear" w:color="auto" w:fill="003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 (brut)</w:t>
            </w:r>
          </w:p>
        </w:tc>
        <w:tc>
          <w:tcPr>
            <w:tcBorders>
              <w:bottom w:val="single" w:sz="16" w:space="0" w:color="003E74"/>
              <w:top w:val="single" w:sz="12" w:space="0" w:color="666666"/>
              <w:left w:val="single" w:sz="4" w:space="0" w:color="BFC9CA"/>
              <w:right w:val="single" w:sz="4" w:space="0" w:color="BFC9CA"/>
            </w:tcBorders>
            <w:shd w:val="clear" w:color="auto" w:fill="003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Prop. pond. (%)</w:t>
            </w:r>
          </w:p>
        </w:tc>
        <w:tc>
          <w:tcPr>
            <w:tcBorders>
              <w:bottom w:val="single" w:sz="16" w:space="0" w:color="003E74"/>
              <w:top w:val="single" w:sz="12" w:space="0" w:color="666666"/>
              <w:left w:val="single" w:sz="4" w:space="0" w:color="BFC9CA"/>
              <w:right w:val="single" w:sz="4" w:space="0" w:color="BFC9CA"/>
            </w:tcBorders>
            <w:shd w:val="clear" w:color="auto" w:fill="003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IC 95% inf.</w:t>
            </w:r>
          </w:p>
        </w:tc>
        <w:tc>
          <w:tcPr>
            <w:tcBorders>
              <w:bottom w:val="single" w:sz="16" w:space="0" w:color="003E74"/>
              <w:top w:val="single" w:sz="12" w:space="0" w:color="666666"/>
              <w:left w:val="single" w:sz="4" w:space="0" w:color="BFC9CA"/>
              <w:right w:val="single" w:sz="4" w:space="0" w:color="BFC9CA"/>
            </w:tcBorders>
            <w:shd w:val="clear" w:color="auto" w:fill="003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IC 95% sup.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BFC9CA"/>
              <w:top w:val="single" w:sz="16" w:space="0" w:color="003E74"/>
              <w:left w:val="none" w:sz="0" w:space="0" w:color="000000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Enfant propre</w:t>
            </w:r>
          </w:p>
        </w:tc>
        <w:tc>
          <w:tcPr>
            <w:tcBorders>
              <w:bottom w:val="single" w:sz="4" w:space="0" w:color="BFC9CA"/>
              <w:top w:val="single" w:sz="16" w:space="0" w:color="003E74"/>
              <w:left w:val="single" w:sz="4" w:space="0" w:color="BFC9CA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14 623</w:t>
            </w:r>
          </w:p>
        </w:tc>
        <w:tc>
          <w:tcPr>
            <w:tcBorders>
              <w:bottom w:val="single" w:sz="4" w:space="0" w:color="BFC9CA"/>
              <w:top w:val="single" w:sz="16" w:space="0" w:color="003E74"/>
              <w:left w:val="single" w:sz="4" w:space="0" w:color="BFC9CA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  <w:t xml:space="preserve">56.0</w:t>
            </w:r>
          </w:p>
        </w:tc>
        <w:tc>
          <w:tcPr>
            <w:tcBorders>
              <w:bottom w:val="single" w:sz="4" w:space="0" w:color="BFC9CA"/>
              <w:top w:val="single" w:sz="16" w:space="0" w:color="003E74"/>
              <w:left w:val="single" w:sz="4" w:space="0" w:color="BFC9CA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55.1</w:t>
            </w:r>
          </w:p>
        </w:tc>
        <w:tc>
          <w:tcPr>
            <w:tcBorders>
              <w:bottom w:val="single" w:sz="4" w:space="0" w:color="BFC9CA"/>
              <w:top w:val="single" w:sz="16" w:space="0" w:color="003E74"/>
              <w:left w:val="single" w:sz="4" w:space="0" w:color="BFC9CA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57.0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FC9CA"/>
              <w:top w:val="single" w:sz="4" w:space="0" w:color="BFC9CA"/>
              <w:left w:val="none" w:sz="0" w:space="0" w:color="000000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Chef de ménage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4 976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  <w:t xml:space="preserve">18.1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18.6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FC9CA"/>
              <w:top w:val="single" w:sz="4" w:space="0" w:color="BFC9CA"/>
              <w:left w:val="none" w:sz="0" w:space="0" w:color="000000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Conjoint(e)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4 269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  <w:t xml:space="preserve">16.1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</w:t>
            </w:r>
          </w:p>
        </w:tc>
      </w:tr>
      <w:tr>
        <w:trPr>
          <w:trHeight w:val="573" w:hRule="auto"/>
        </w:trPr>
        <w:tc>
          <w:tcPr>
            <w:tcBorders>
              <w:bottom w:val="single" w:sz="4" w:space="0" w:color="BFC9CA"/>
              <w:top w:val="single" w:sz="4" w:space="0" w:color="BFC9CA"/>
              <w:left w:val="none" w:sz="0" w:space="0" w:color="000000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Petit-enfant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1 045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  <w:t xml:space="preserve">3.3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</w:t>
            </w:r>
          </w:p>
        </w:tc>
      </w:tr>
      <w:tr>
        <w:trPr>
          <w:trHeight w:val="574" w:hRule="auto"/>
        </w:trPr>
        <w:tc>
          <w:tcPr>
            <w:tcBorders>
              <w:bottom w:val="single" w:sz="4" w:space="0" w:color="BFC9CA"/>
              <w:top w:val="single" w:sz="4" w:space="0" w:color="BFC9CA"/>
              <w:left w:val="none" w:sz="0" w:space="0" w:color="000000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Frère/Sœur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486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  <w:t xml:space="preserve">1.9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</w:tr>
      <w:tr>
        <w:trPr>
          <w:trHeight w:val="572" w:hRule="auto"/>
        </w:trPr>
        <w:tc>
          <w:tcPr>
            <w:tcBorders>
              <w:bottom w:val="single" w:sz="4" w:space="0" w:color="BFC9CA"/>
              <w:top w:val="single" w:sz="4" w:space="0" w:color="BFC9CA"/>
              <w:left w:val="none" w:sz="0" w:space="0" w:color="000000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Parent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290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  <w:t xml:space="preserve">1.1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</w:t>
            </w:r>
          </w:p>
        </w:tc>
      </w:tr>
      <w:tr>
        <w:trPr>
          <w:trHeight w:val="574" w:hRule="auto"/>
        </w:trPr>
        <w:tc>
          <w:tcPr>
            <w:tcBorders>
              <w:bottom w:val="single" w:sz="4" w:space="0" w:color="BFC9CA"/>
              <w:top w:val="single" w:sz="4" w:space="0" w:color="BFC9CA"/>
              <w:left w:val="none" w:sz="0" w:space="0" w:color="000000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Neveu/Nièce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229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3E74"/>
              </w:rPr>
              <w:t xml:space="preserve">0.8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EBF5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Interprétation :</w:t>
      </w:r>
      <w:r>
        <w:t xml:space="preserve"> </w:t>
      </w:r>
      <w:r>
        <w:t xml:space="preserve">La structure intra-ménage est centrée sur le</w:t>
      </w:r>
      <w:r>
        <w:t xml:space="preserve"> </w:t>
      </w:r>
      <w:r>
        <w:rPr>
          <w:b/>
          <w:bCs/>
        </w:rPr>
        <w:t xml:space="preserve">noyau familial nucléaire</w:t>
      </w:r>
      <w:r>
        <w:t xml:space="preserve"> </w:t>
      </w:r>
      <w:r>
        <w:t xml:space="preserve">: les enfants propres (56% pondéré) constituent la catégorie dominante, suivis des chefs de ménage et des conjoints. Les ménages ruraux (moyenne pondérée 5.9 membres) sont significativement plus grands que les urbains (4.8 membres) — Wilcoxon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0,001, effet fort (</w:t>
      </w:r>
      <w:r>
        <w:rPr>
          <w:i/>
          <w:iCs/>
        </w:rPr>
        <w:t xml:space="preserve">r</w:t>
      </w:r>
      <w:r>
        <w:t xml:space="preserve"> </w:t>
      </w:r>
      <w:r>
        <w:t xml:space="preserve">= 0.574).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X92aff520dc91687b0c7829fdf0977200284c5d1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Disparités géographiques et tableau de synthèse</w:t>
      </w:r>
    </w:p>
    <w:bookmarkStart w:id="47" w:name="répartition-par-zone-géopolitique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Répartition par zone géopolitique</w:t>
      </w:r>
    </w:p>
    <w:p>
      <w:pPr>
        <w:pStyle w:val="CaptionedFigure"/>
      </w:pPr>
      <w:r>
        <w:drawing>
          <wp:inline>
            <wp:extent cx="4597541" cy="2206820"/>
            <wp:effectExtent b="0" l="0" r="0" t="0"/>
            <wp:docPr descr="Répartition pondérée par zone géopolitique et par sexe — GHS W4 (2018)." title="" id="45" name="Picture"/>
            <a:graphic>
              <a:graphicData uri="http://schemas.openxmlformats.org/drawingml/2006/picture">
                <pic:pic>
                  <pic:nvPicPr>
                    <pic:cNvPr descr="TP1_Rapport_Demographie_files/figure-docx/fig_zones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541" cy="2206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Répartition pondérée par zone géopolitique et par sexe — GHS W4 (2018).</w:t>
      </w:r>
    </w:p>
    <w:bookmarkEnd w:id="47"/>
    <w:bookmarkStart w:id="48" w:name="tableau-par-zone-géopolitique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Tableau par zone géopolitique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Caractéristiques démographiques pondérées par zone géopolitique — GHS W4 (2018)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36"/>
        <w:gridCol w:w="1596"/>
        <w:gridCol w:w="1242"/>
        <w:gridCol w:w="2061"/>
        <w:gridCol w:w="1230"/>
        <w:gridCol w:w="2208"/>
      </w:tblGrid>
      <w:tr>
        <w:trPr>
          <w:trHeight w:val="65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4" w:space="0" w:color="BFC9CA"/>
            </w:tcBorders>
            <w:shd w:val="clear" w:color="auto" w:fill="003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Zone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FC9CA"/>
              <w:right w:val="single" w:sz="4" w:space="0" w:color="BFC9CA"/>
            </w:tcBorders>
            <w:shd w:val="clear" w:color="auto" w:fill="003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 individus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FC9CA"/>
              <w:right w:val="single" w:sz="4" w:space="0" w:color="BFC9CA"/>
            </w:tcBorders>
            <w:shd w:val="clear" w:color="auto" w:fill="003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Part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FC9CA"/>
              <w:right w:val="single" w:sz="4" w:space="0" w:color="BFC9CA"/>
            </w:tcBorders>
            <w:shd w:val="clear" w:color="auto" w:fill="003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Âge moy. pond.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FC9CA"/>
              <w:right w:val="single" w:sz="4" w:space="0" w:color="BFC9CA"/>
            </w:tcBorders>
            <w:shd w:val="clear" w:color="auto" w:fill="003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% Rural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FC9CA"/>
              <w:right w:val="single" w:sz="4" w:space="0" w:color="BFC9CA"/>
            </w:tcBorders>
            <w:shd w:val="clear" w:color="auto" w:fill="003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Taille mén. pond.</w:t>
            </w:r>
          </w:p>
        </w:tc>
      </w:tr>
    </w:tbl>
    <w:bookmarkEnd w:id="48"/>
    <w:bookmarkStart w:id="49" w:name="tableau-de-synthèse-pondéré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Tableau de synthèse pondéré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**Tableau 2. Caractéristiques démographiques pondérées par milieu — GHS W4 (2018)**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39"/>
        <w:gridCol w:w="3623"/>
        <w:gridCol w:w="3623"/>
        <w:gridCol w:w="3623"/>
        <w:gridCol w:w="1242"/>
      </w:tblGrid>
      <w:tr>
        <w:trPr>
          <w:trHeight w:val="607" w:hRule="auto"/>
          <w:tblHeader/>
        </w:trPr>
        <w:tc>
          <w:tcPr>
            <w:tcBorders>
              <w:bottom w:val="single" w:sz="16" w:space="0" w:color="003E74"/>
              <w:top w:val="single" w:sz="8" w:space="0" w:color="000000"/>
              <w:left w:val="none" w:sz="0" w:space="0" w:color="000000"/>
              <w:right w:val="single" w:sz="4" w:space="0" w:color="BFC9CA"/>
            </w:tcBorders>
            <w:shd w:val="clear" w:color="auto" w:fill="003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Characteristic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FFFFFF"/>
              </w:rPr>
              <w:t xml:space="preserve">1</w:t>
            </w:r>
          </w:p>
        </w:tc>
        <w:tc>
          <w:tcPr>
            <w:tcBorders>
              <w:bottom w:val="single" w:sz="16" w:space="0" w:color="003E74"/>
              <w:top w:val="single" w:sz="8" w:space="0" w:color="000000"/>
              <w:left w:val="single" w:sz="4" w:space="0" w:color="BFC9CA"/>
              <w:right w:val="single" w:sz="4" w:space="0" w:color="BFC9CA"/>
            </w:tcBorders>
            <w:shd w:val="clear" w:color="auto" w:fill="003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Overall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 = 149,016,938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FFFFFF"/>
              </w:rPr>
              <w:t xml:space="preserve">1</w:t>
            </w:r>
          </w:p>
        </w:tc>
        <w:tc>
          <w:tcPr>
            <w:tcBorders>
              <w:bottom w:val="single" w:sz="16" w:space="0" w:color="003E74"/>
              <w:top w:val="single" w:sz="8" w:space="0" w:color="000000"/>
              <w:left w:val="single" w:sz="4" w:space="0" w:color="BFC9CA"/>
              <w:right w:val="single" w:sz="4" w:space="0" w:color="BFC9CA"/>
            </w:tcBorders>
            <w:shd w:val="clear" w:color="auto" w:fill="003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Rural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 = 108,546,328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FFFFFF"/>
              </w:rPr>
              <w:t xml:space="preserve">1</w:t>
            </w:r>
          </w:p>
        </w:tc>
        <w:tc>
          <w:tcPr>
            <w:tcBorders>
              <w:bottom w:val="single" w:sz="16" w:space="0" w:color="003E74"/>
              <w:top w:val="single" w:sz="8" w:space="0" w:color="000000"/>
              <w:left w:val="single" w:sz="4" w:space="0" w:color="BFC9CA"/>
              <w:right w:val="single" w:sz="4" w:space="0" w:color="BFC9CA"/>
            </w:tcBorders>
            <w:shd w:val="clear" w:color="auto" w:fill="003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Urbain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 = 40,470,610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FFFFFF"/>
              </w:rPr>
              <w:t xml:space="preserve">1</w:t>
            </w:r>
          </w:p>
        </w:tc>
        <w:tc>
          <w:tcPr>
            <w:tcBorders>
              <w:bottom w:val="single" w:sz="16" w:space="0" w:color="003E74"/>
              <w:top w:val="single" w:sz="8" w:space="0" w:color="000000"/>
              <w:left w:val="single" w:sz="4" w:space="0" w:color="BFC9CA"/>
              <w:right w:val="single" w:sz="4" w:space="0" w:color="BFC9CA"/>
            </w:tcBorders>
            <w:shd w:val="clear" w:color="auto" w:fill="003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p-value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FFFFFF"/>
              </w:rPr>
              <w:t xml:space="preserve">1</w:t>
            </w:r>
          </w:p>
        </w:tc>
      </w:tr>
      <w:tr>
        <w:trPr>
          <w:trHeight w:val="574" w:hRule="auto"/>
        </w:trPr>
        <w:tc>
          <w:tcPr>
            <w:tcBorders>
              <w:bottom w:val="single" w:sz="4" w:space="0" w:color="BFC9CA"/>
              <w:top w:val="single" w:sz="16" w:space="0" w:color="003E74"/>
              <w:left w:val="none" w:sz="0" w:space="0" w:color="000000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Sexe</w:t>
            </w:r>
          </w:p>
        </w:tc>
        <w:tc>
          <w:tcPr>
            <w:tcBorders>
              <w:bottom w:val="single" w:sz="4" w:space="0" w:color="BFC9CA"/>
              <w:top w:val="single" w:sz="16" w:space="0" w:color="003E74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FC9CA"/>
              <w:top w:val="single" w:sz="16" w:space="0" w:color="003E74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FC9CA"/>
              <w:top w:val="single" w:sz="16" w:space="0" w:color="003E74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FC9CA"/>
              <w:top w:val="single" w:sz="16" w:space="0" w:color="003E74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FC9CA"/>
              <w:top w:val="single" w:sz="4" w:space="0" w:color="BFC9CA"/>
              <w:left w:val="none" w:sz="0" w:space="0" w:color="000000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Homme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13,177 (50%)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9,458 (49%)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3,719 (50%)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FC9CA"/>
              <w:top w:val="single" w:sz="4" w:space="0" w:color="BFC9CA"/>
              <w:left w:val="none" w:sz="0" w:space="0" w:color="000000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Femme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13,356 (50%)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9,531 (51%)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3,825 (50%)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FC9CA"/>
              <w:top w:val="single" w:sz="4" w:space="0" w:color="BFC9CA"/>
              <w:left w:val="none" w:sz="0" w:space="0" w:color="000000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(ans)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23.2 (19.3) | med. 17.0 [8.0-35.0]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22.7 (19.4) | med. 16.0 [8.0-35.0]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24.4 (19.1) | med. 18.0 [9.0-36.0]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BFC9CA"/>
              <w:top w:val="single" w:sz="4" w:space="0" w:color="BFC9CA"/>
              <w:left w:val="none" w:sz="0" w:space="0" w:color="000000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2,450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2,450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FC9CA"/>
              <w:top w:val="single" w:sz="4" w:space="0" w:color="BFC9CA"/>
              <w:left w:val="none" w:sz="0" w:space="0" w:color="000000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Taille men.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 (4.2) | med. 7.0 [5.0-10.0]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 (4.2) | med. 7.0 [5.0-10.0]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 (4.0) | med. 6.0 [4.0-8.0]</w:t>
            </w:r>
          </w:p>
        </w:tc>
        <w:tc>
          <w:tcPr>
            <w:tcBorders>
              <w:bottom w:val="single" w:sz="4" w:space="0" w:color="BFC9CA"/>
              <w:top w:val="single" w:sz="4" w:space="0" w:color="BFC9CA"/>
              <w:left w:val="single" w:sz="4" w:space="0" w:color="BFC9CA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4" w:space="0" w:color="BFC9CA"/>
              <w:left w:val="none" w:sz="0" w:space="0" w:color="FFFFFF"/>
              <w:right w:val="single" w:sz="4" w:space="0" w:color="BFC9C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Analyses pondérées (wt_wave4) | Wilcoxon survey | Chi² survey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Interprétation :</w:t>
      </w:r>
      <w:r>
        <w:t xml:space="preserve"> </w:t>
      </w:r>
      <w:r>
        <w:t xml:space="preserve">Le tableau de synthèse pondéré confirme des</w:t>
      </w:r>
      <w:r>
        <w:t xml:space="preserve"> </w:t>
      </w:r>
      <w:r>
        <w:rPr>
          <w:b/>
          <w:bCs/>
        </w:rPr>
        <w:t xml:space="preserve">disparités systématiques</w:t>
      </w:r>
      <w:r>
        <w:t xml:space="preserve"> </w:t>
      </w:r>
      <w:r>
        <w:t xml:space="preserve">entre milieux rural et urbain. La taille médiane pondérée des ménages est significativement plus grande en milieu rural (Wilcoxon survey,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0,001, effet fort,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0.574). L’âge moyen pondéré est légèrement plus élevé en milieu urbain, reflet de la migration sélective des adultes vers les villes.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Ce rapport dresse un portrait démographique complet et pondéré des ménages nigérians à partir des données GHS Panel W4 (2018). Quatre enseignements principaux se dégagent :</w:t>
      </w:r>
    </w:p>
    <w:p>
      <w:pPr>
        <w:pStyle w:val="BodyText"/>
      </w:pPr>
      <w:r>
        <w:rPr>
          <w:b/>
          <w:bCs/>
        </w:rPr>
        <w:t xml:space="preserve">1. Population jeune en forte transition.</w:t>
      </w:r>
      <w:r>
        <w:t xml:space="preserve"> </w:t>
      </w:r>
      <w:r>
        <w:t xml:space="preserve">L’âge médian pondéré de 17 ans et la pyramide à base élargie confirment une fécondité soutenue. Le Nigéria est en début de transition démographique, avec un potentiel de dividende démographique important.</w:t>
      </w:r>
    </w:p>
    <w:p>
      <w:pPr>
        <w:pStyle w:val="BodyText"/>
      </w:pPr>
      <w:r>
        <w:rPr>
          <w:b/>
          <w:bCs/>
        </w:rPr>
        <w:t xml:space="preserve">2. Ménages à structure nucléaire dominante.</w:t>
      </w:r>
      <w:r>
        <w:t xml:space="preserve"> </w:t>
      </w:r>
      <w:r>
        <w:t xml:space="preserve">Les enfants propres et les conjoints dominent la composition intra-ménage, mais la présence de ménages élargis reste notable, particulièrement en zone rurale.</w:t>
      </w:r>
    </w:p>
    <w:p>
      <w:pPr>
        <w:pStyle w:val="BodyText"/>
      </w:pPr>
      <w:r>
        <w:rPr>
          <w:b/>
          <w:bCs/>
        </w:rPr>
        <w:t xml:space="preserve">3. Gradient rural-urbain significatif.</w:t>
      </w:r>
      <w:r>
        <w:t xml:space="preserve"> </w:t>
      </w:r>
      <w:r>
        <w:t xml:space="preserve">Les ménages ruraux (moyenne pondérée 5.9 membres) sont significativement plus grands que les ménages urbains (4.8 membres) — Wilcoxon survey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0,001, effet fort.</w:t>
      </w:r>
    </w:p>
    <w:p>
      <w:pPr>
        <w:pStyle w:val="BodyText"/>
      </w:pPr>
      <w:r>
        <w:rPr>
          <w:b/>
          <w:bCs/>
        </w:rPr>
        <w:t xml:space="preserve">4. Distribution géographique équilibrée.</w:t>
      </w:r>
      <w:r>
        <w:t xml:space="preserve"> </w:t>
      </w:r>
      <w:r>
        <w:t xml:space="preserve">Les six zones géopolitiques sont couvertes de manière relativement homogène, avec des disparités d’âge moyen pondéré et de taille de ménage entre zones, reflétant des niveaux de développement différents.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Données : NBS/World Bank — GHS Panel Wave 4, Nigeria, 2018 | ENSAE ISE 1 — 2025–2026</w:t>
      </w:r>
    </w:p>
    <w:p>
      <w:pPr>
        <w:pStyle w:val="BodyText"/>
      </w:pPr>
      <w:r>
        <w:rPr>
          <w:i/>
          <w:iCs/>
        </w:rPr>
        <w:t xml:space="preserve">Pondération : wt_wave4 (niveau ménage, secta_harvestw4) | Packages R : survey, gtsummary, flextable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2" Target="media/rId22.png" /><Relationship Type="http://schemas.openxmlformats.org/officeDocument/2006/relationships/image" Id="rId38" Target="media/rId38.png" /><Relationship Type="http://schemas.openxmlformats.org/officeDocument/2006/relationships/image" Id="rId33" Target="media/rId33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Profil Démographique des Ménages Nigérians</dc:title>
  <dc:creator>Cheikh Mouhamdou Moustapha Ndiaye &amp; Awa Ba</dc:creator>
  <dc:language>fr</dc:language>
  <cp:keywords/>
  <dcterms:created xsi:type="dcterms:W3CDTF">2026-03-24T14:45:20Z</dcterms:created>
  <dcterms:modified xsi:type="dcterms:W3CDTF">2026-03-24T14:45:20Z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24 mars 2026</vt:lpwstr>
  </property>
  <property fmtid="{D5CDD505-2E9C-101B-9397-08002B2CF9AE}" pid="3" name="output">
    <vt:lpwstr/>
  </property>
  <property fmtid="{D5CDD505-2E9C-101B-9397-08002B2CF9AE}" pid="4" name="subtitle">
    <vt:lpwstr>Nigeria General Household Survey Panel — Vague 4 (2018)</vt:lpwstr>
  </property>
</Properties>
</file>