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Profil démographique des ménages nigérians</w:t>
      </w:r>
    </w:p>
    <w:p>
      <w:pPr>
        <w:pStyle w:val="Sous-titre"/>
      </w:pPr>
      <w:r>
        <w:t xml:space="preserve">Nigeria General Household Survey Panel — Wave 4 (2018-2019)</w:t>
      </w:r>
    </w:p>
    <w:p>
      <w:pPr>
        <w:pStyle w:val="Author"/>
      </w:pPr>
      <w:r>
        <w:t xml:space="preserve">DIOP Marème &amp; KANE Boubacar — Élèves Ingénieurs Statisticiens Économistes, ENSAE Dakar</w:t>
      </w:r>
    </w:p>
    <w:p>
      <w:pPr>
        <w:pStyle w:val="Date"/>
      </w:pPr>
      <w:r>
        <w:t xml:space="preserve">24 mars 2026</w:t>
      </w:r>
    </w:p>
    <w:bookmarkStart w:id="20" w:name="introduction"/>
    <w:p>
      <w:pPr>
        <w:pStyle w:val="Titre1"/>
      </w:pPr>
      <w:r>
        <w:t xml:space="preserve">Introduction</w:t>
      </w:r>
    </w:p>
    <w:p>
      <w:pPr>
        <w:pStyle w:val="FirstParagraph"/>
      </w:pPr>
      <w:r>
        <w:t xml:space="preserve">Ce rapport analyse le profil démographique des ménages enquêtés lors de la quatrième vague du</w:t>
      </w:r>
      <w:r>
        <w:t xml:space="preserve"> </w:t>
      </w:r>
      <w:r>
        <w:rPr>
          <w:b/>
          <w:bCs/>
        </w:rPr>
        <w:t xml:space="preserve">Nigeria General Household Survey (GHS) Panel</w:t>
      </w:r>
      <w:r>
        <w:t xml:space="preserve"> </w:t>
      </w:r>
      <w:r>
        <w:t xml:space="preserve">(2018-2019), collectée dans le cadre du programme LSMS-ISA de la Banque Mondiale. L’objectif est de décrire la structure par âge et par sexe de la population, la composition des ménages selon le lien de parenté avec le chef de ménage, et les disparités de taille entre milieux rural et urbain. Toutes les analyses sont pondérées afin de produire des estimations représentatives de la population nigériane.</w:t>
      </w:r>
    </w:p>
    <w:bookmarkEnd w:id="20"/>
    <w:bookmarkStart w:id="26" w:name="données-et-structure-des-bases"/>
    <w:p>
      <w:pPr>
        <w:pStyle w:val="Titre1"/>
      </w:pPr>
      <w:r>
        <w:t xml:space="preserve">Données et structure des bases</w:t>
      </w:r>
    </w:p>
    <w:bookmarkStart w:id="21" w:name="sources-mobilisées"/>
    <w:p>
      <w:pPr>
        <w:pStyle w:val="Titre2"/>
      </w:pPr>
      <w:r>
        <w:t xml:space="preserve">Sources mobilisées</w:t>
      </w:r>
    </w:p>
    <w:p>
      <w:pPr>
        <w:pStyle w:val="FirstParagraph"/>
      </w:pPr>
      <w:r>
        <w:t xml:space="preserve">Deux fichiers issus de la Wave 4 Post-Harvest ont été utilisés conjointement, joints sur l’identifiant ménage. Les ménages ayant refusé l’entretien ont été exclus, soit 4 ménages représentant 24 individus (0,09 % de l’échantillon).</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Description des deux bases de données utilisées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Fichier</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Variables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Contenu principal</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sect1_harvestw4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30 337 individus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Sexe, âge, lien de parenté, statut de résidence de chaque membre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secta_harvestw4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5 025 ménages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Milieu de résidence, poids de sondage, identifiants enquêteur/superviseur</w:t>
            </w:r>
          </w:p>
        </w:tc>
      </w:tr>
    </w:tbl>
    <w:bookmarkEnd w:id="21"/>
    <w:bookmarkStart w:id="22" w:name="variables-clés"/>
    <w:p>
      <w:pPr>
        <w:pStyle w:val="Titre2"/>
      </w:pPr>
      <w:r>
        <w:t xml:space="preserve">Variables clés</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Variables clés utilisées dans l'analyse</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Label</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Modalités / Plage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hhid</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Identifiant du ménage</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Numérique unique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indiv</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Identifiant individuel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Unique au sein du ménage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s1q2</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Sexe</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 = Masculin, 2 = Féminin</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s1q3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Lien de parenté avec le chef de ménage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 modalités (Chef, Conjoint, Enfant biologique, Autre...)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s1q4</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Âge en années révolues</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 à 110 ans (1 observation aberrante exclue)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s1q4a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Statut de résidence actuel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 = Encore membre du ménage, 2 = Parti</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sector</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Milieu de résidence</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 = Urbain, 2 = Rural</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wt_wave4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Poids de sondage transversal (ménage)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Continu — issu de secta_harvestw4</w:t>
            </w:r>
          </w:p>
        </w:tc>
      </w:tr>
    </w:tbl>
    <w:bookmarkEnd w:id="22"/>
    <w:bookmarkStart w:id="25" w:name="X91f42b0301f46d4b8ae198a0e21971254a097c4"/>
    <w:p>
      <w:pPr>
        <w:pStyle w:val="Titre2"/>
      </w:pPr>
      <w:r>
        <w:t xml:space="preserve">Qualité des données et valeurs manquantes</w:t>
      </w:r>
    </w:p>
    <w:bookmarkStart w:id="23" w:name="vérification-des-doublons-et-filtrage"/>
    <w:p>
      <w:pPr>
        <w:pStyle w:val="Titre3"/>
      </w:pPr>
      <w:r>
        <w:t xml:space="preserve">Vérification des doublons et filtrage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Étapes de nettoyage et constitution de l'échantillon analytique</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Étape de nettoyage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Résultat</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Doublons sur (Identifiant ménage + Identifiant individu)</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 doublon détecté</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Membres partis (Statut de résidence = Parti) — exclus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3 780 individus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Statut de résidence non renseigné (NA) — conservés</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790 individus conservés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Ménages sans poids de sondage (interview refusée) — exclus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 ménages / 24 individus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Âge aberrant (&gt; 110 ans) — exclu de l'analyse de l'âge</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 individu</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D6E4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Échantillon analytique final</w:t>
            </w:r>
          </w:p>
        </w:tc>
        <w:tc>
          <w:tcPr>
            <w:tcBorders>
              <w:bottom w:val="single" w:sz="12" w:space="0" w:color="666666"/>
              <w:top w:val="single" w:sz="6" w:space="0" w:color="666666"/>
              <w:left w:val="none" w:sz="0" w:space="0" w:color="000000"/>
              <w:right w:val="none" w:sz="0" w:space="0" w:color="000000"/>
            </w:tcBorders>
            <w:shd w:val="clear" w:color="auto" w:fill="D6E4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26 533 individus — 4 976 ménages</w:t>
            </w:r>
          </w:p>
        </w:tc>
      </w:tr>
    </w:tbl>
    <w:bookmarkEnd w:id="23"/>
    <w:bookmarkStart w:id="24" w:name="analyse-des-valeurs-manquantes"/>
    <w:p>
      <w:pPr>
        <w:pStyle w:val="Titre3"/>
      </w:pPr>
      <w:r>
        <w:t xml:space="preserve">Analyse des valeurs manquantes</w:t>
      </w:r>
    </w:p>
    <w:p>
      <w:pPr>
        <w:pStyle w:val="FirstParagraph"/>
      </w:pPr>
      <w:r>
        <w:t xml:space="preserve">La carte ci-dessous visualise la présence de valeurs manquantes sur les variables clés</w:t>
      </w:r>
      <w:r>
        <w:t xml:space="preserve"> </w:t>
      </w:r>
      <w:r>
        <w:rPr>
          <w:b/>
          <w:bCs/>
        </w:rPr>
        <w:t xml:space="preserve">avant filtrage</w:t>
      </w:r>
      <w:r>
        <w:t xml:space="preserve">, sur l’ensemble des 30 337 individus de</w:t>
      </w:r>
      <w:r>
        <w:t xml:space="preserve"> </w:t>
      </w:r>
      <w:r>
        <w:rPr>
          <w:rStyle w:val="VerbatimChar"/>
        </w:rPr>
        <w:t xml:space="preserve">sect1_harvestw4</w:t>
      </w:r>
      <w:r>
        <w:t xml:space="preserve">. Les variables affichées correspondent à leurs libellés réels dans le questionnaire.</w:t>
      </w:r>
    </w:p>
    <w:p>
      <w:pPr>
        <w:jc w:val="center"/>
        <w:pStyle w:val="Figure"/>
      </w:pPr>
      <w:r>
        <w:rPr/>
        <w:drawing>
          <wp:inline distT="0" distB="0" distL="0" distR="0">
            <wp:extent cx="4343400" cy="347472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1"/>
                    <a:stretch>
                      <a:fillRect/>
                    </a:stretch>
                  </pic:blipFill>
                  <pic:spPr bwMode="auto">
                    <a:xfrm>
                      <a:off x="0" y="0"/>
                      <a:ext cx="4343400" cy="3474720"/>
                    </a:xfrm>
                    <a:prstGeom prst="rect">
                      <a:avLst/>
                    </a:prstGeom>
                    <a:noFill/>
                  </pic:spPr>
                </pic:pic>
              </a:graphicData>
            </a:graphic>
          </wp:inline>
        </w:drawing>
      </w:r>
    </w:p>
    <w:p>
      <w:pPr>
        <w:pStyle w:val="ImageCaption"/>
      </w:pPr>
      <w:r>
        <w:rPr>
          <w:rFonts/>
          <w:b w:val="true"/>
          <w:strike w:val="false"/>
        </w:rPr>
        <w:t xml:space="preserve">Figure </w:t>
      </w:r>
      <w:bookmarkStart w:id="75eaeb5f-91d2-4fdd-875d-f891e1f4d5d1" w:name="fig-miss"/>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75eaeb5f-91d2-4fdd-875d-f891e1f4d5d1"/>
      <w:r>
        <w:rPr>
          <w:rFonts/>
          <w:b w:val="true"/>
          <w:strike w:val="false"/>
        </w:rPr>
        <w:t xml:space="preserve">: </w:t>
      </w:r>
      <w:r>
        <w:t xml:space="preserve">Carte des valeurs manquantes sur les variables clés — sect1_harvestw4 (avant filtrage)</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Cohérence des valeurs manquantes selon le statut de résidence</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Groupe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 individus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NA sur Âge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NA sur Sexe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NA sur Lien de parenté</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Membres présents (Statut de résidence = Présent)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25,767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0F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Membres partis   (Statut de résidence = Parti)</w:t>
            </w:r>
          </w:p>
        </w:tc>
        <w:tc>
          <w:tcPr>
            <w:tcBorders>
              <w:bottom w:val="single" w:sz="6" w:space="0" w:color="666666"/>
              <w:top w:val="single" w:sz="6" w:space="0" w:color="666666"/>
              <w:left w:val="none" w:sz="0" w:space="0" w:color="000000"/>
              <w:right w:val="none" w:sz="0" w:space="0" w:color="000000"/>
            </w:tcBorders>
            <w:shd w:val="clear" w:color="auto" w:fill="FF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3,780</w:t>
            </w:r>
          </w:p>
        </w:tc>
        <w:tc>
          <w:tcPr>
            <w:tcBorders>
              <w:bottom w:val="single" w:sz="6" w:space="0" w:color="666666"/>
              <w:top w:val="single" w:sz="6" w:space="0" w:color="666666"/>
              <w:left w:val="none" w:sz="0" w:space="0" w:color="000000"/>
              <w:right w:val="none" w:sz="0" w:space="0" w:color="000000"/>
            </w:tcBorders>
            <w:shd w:val="clear" w:color="auto" w:fill="FF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3,780</w:t>
            </w:r>
          </w:p>
        </w:tc>
        <w:tc>
          <w:tcPr>
            <w:tcBorders>
              <w:bottom w:val="single" w:sz="6" w:space="0" w:color="666666"/>
              <w:top w:val="single" w:sz="6" w:space="0" w:color="666666"/>
              <w:left w:val="none" w:sz="0" w:space="0" w:color="000000"/>
              <w:right w:val="none" w:sz="0" w:space="0" w:color="000000"/>
            </w:tcBorders>
            <w:shd w:val="clear" w:color="auto" w:fill="FF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3,780</w:t>
            </w:r>
          </w:p>
        </w:tc>
        <w:tc>
          <w:tcPr>
            <w:tcBorders>
              <w:bottom w:val="single" w:sz="6" w:space="0" w:color="666666"/>
              <w:top w:val="single" w:sz="6" w:space="0" w:color="666666"/>
              <w:left w:val="none" w:sz="0" w:space="0" w:color="000000"/>
              <w:right w:val="none" w:sz="0" w:space="0" w:color="000000"/>
            </w:tcBorders>
            <w:shd w:val="clear" w:color="auto" w:fill="FFF0F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3,780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B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Statut non renseigné (NA)</w:t>
            </w:r>
          </w:p>
        </w:tc>
        <w:tc>
          <w:tcPr>
            <w:tcBorders>
              <w:bottom w:val="single" w:sz="12" w:space="0" w:color="666666"/>
              <w:top w:val="single" w:sz="6" w:space="0" w:color="666666"/>
              <w:left w:val="none" w:sz="0" w:space="0" w:color="000000"/>
              <w:right w:val="none" w:sz="0" w:space="0" w:color="000000"/>
            </w:tcBorders>
            <w:shd w:val="clear" w:color="auto" w:fill="FFFB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790</w:t>
            </w:r>
          </w:p>
        </w:tc>
        <w:tc>
          <w:tcPr>
            <w:tcBorders>
              <w:bottom w:val="single" w:sz="12" w:space="0" w:color="666666"/>
              <w:top w:val="single" w:sz="6" w:space="0" w:color="666666"/>
              <w:left w:val="none" w:sz="0" w:space="0" w:color="000000"/>
              <w:right w:val="none" w:sz="0" w:space="0" w:color="000000"/>
            </w:tcBorders>
            <w:shd w:val="clear" w:color="auto" w:fill="FFFB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B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B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Corpsdetexte"/>
      </w:pPr>
      <w:r>
        <w:t xml:space="preserve">Les 3 780 valeurs manquantes sur l’âge, le sexe et le lien de parenté correspondent</w:t>
      </w:r>
      <w:r>
        <w:t xml:space="preserve"> </w:t>
      </w:r>
      <w:r>
        <w:rPr>
          <w:b/>
          <w:bCs/>
        </w:rPr>
        <w:t xml:space="preserve">exactement</w:t>
      </w:r>
      <w:r>
        <w:t xml:space="preserve"> </w:t>
      </w:r>
      <w:r>
        <w:t xml:space="preserve">aux membres partis (Statut de résidence = Parti). Ces NA sont donc structurels — liés à la conception du questionnaire — et non aléatoires. Les 790 individus dont le statut est non renseigné ne présentent aucune valeur manquante sur les variables analytiques et sont conservés dans l’échantillon.</w:t>
      </w:r>
    </w:p>
    <w:bookmarkEnd w:id="24"/>
    <w:bookmarkEnd w:id="25"/>
    <w:bookmarkEnd w:id="26"/>
    <w:bookmarkStart w:id="29" w:name="analyse-univariée-de-lâge"/>
    <w:p>
      <w:pPr>
        <w:pStyle w:val="Titre1"/>
      </w:pPr>
      <w:r>
        <w:t xml:space="preserve">Analyse univariée de l’âge</w:t>
      </w:r>
    </w:p>
    <w:bookmarkStart w:id="27" w:name="statistiques-descriptives"/>
    <w:p>
      <w:pPr>
        <w:pStyle w:val="Titre2"/>
      </w:pPr>
      <w:r>
        <w:t xml:space="preserve">Statistiques descriptives</w:t>
      </w:r>
    </w:p>
    <w:p>
      <w:pPr>
        <w:pStyle w:val="FirstParagraph"/>
      </w:pPr>
      <w:r>
        <w:t xml:space="preserve">La variable</w:t>
      </w:r>
      <w:r>
        <w:t xml:space="preserve"> </w:t>
      </w:r>
      <w:r>
        <w:rPr>
          <w:i/>
          <w:iCs/>
        </w:rPr>
        <w:t xml:space="preserve">Âge en années révolues</w:t>
      </w:r>
      <w:r>
        <w:t xml:space="preserve"> </w:t>
      </w:r>
      <w:r>
        <w:t xml:space="preserve">est analysée après exclusion de 1 observation(s) aberrante(s) (âge &gt; 110 ans). Les statistiques sont pondérées par le poids individuel.</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Statistiques descriptives pondérées de l'âge — W4</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Moyenne pond.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Médiane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Q1</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Q3</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Écart-type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CV (%)</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Asymétrie</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26,532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0.995</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Statistiques descriptives de l'âge par sexe — W4</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Sexe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Moyenne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Médiane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Q1</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Q3</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Écart-type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Féminin</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13,356</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24.6</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19.7</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Masculin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13,176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19.7</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de normalité de Shapiro-Wilk — Âge (W4)</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Taille testée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Statistique W</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p-valeur</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Conclusion</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5 000 (tirage aléatoire, graine = 42)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0.9013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 2,2 × 10⁻¹⁶</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Rejet de la normalité (seuil 1 %)</w:t>
            </w:r>
          </w:p>
        </w:tc>
      </w:tr>
    </w:tbl>
    <w:bookmarkEnd w:id="27"/>
    <w:bookmarkStart w:id="28" w:name="résultats-et-interprétation"/>
    <w:p>
      <w:pPr>
        <w:pStyle w:val="Titre2"/>
      </w:pPr>
      <w:r>
        <w:t xml:space="preserve">Résultats et interprétation</w:t>
      </w:r>
    </w:p>
    <w:p>
      <w:pPr>
        <w:jc w:val="center"/>
        <w:pStyle w:val="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
                    <a:stretch>
                      <a:fillRect/>
                    </a:stretch>
                  </pic:blipFill>
                  <pic:spPr bwMode="auto">
                    <a:xfrm>
                      <a:off x="0" y="0"/>
                      <a:ext cx="4572000" cy="3657600"/>
                    </a:xfrm>
                    <a:prstGeom prst="rect">
                      <a:avLst/>
                    </a:prstGeom>
                    <a:noFill/>
                  </pic:spPr>
                </pic:pic>
              </a:graphicData>
            </a:graphic>
          </wp:inline>
        </w:drawing>
      </w:r>
    </w:p>
    <w:p>
      <w:pPr>
        <w:pStyle w:val="ImageCaption"/>
      </w:pPr>
      <w:r>
        <w:rPr>
          <w:rFonts/>
          <w:b w:val="true"/>
          <w:strike w:val="false"/>
        </w:rPr>
        <w:t xml:space="preserve">Figure </w:t>
      </w:r>
      <w:bookmarkStart w:id="8c324528-c756-4100-8aac-56a7203b4c19" w:name="fig-ag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8c324528-c756-4100-8aac-56a7203b4c19"/>
      <w:r>
        <w:rPr>
          <w:rFonts/>
          <w:b w:val="true"/>
          <w:strike w:val="false"/>
        </w:rPr>
        <w:t xml:space="preserve">: </w:t>
      </w:r>
      <w:r>
        <w:t xml:space="preserve">Distribution de l’âge — histogramme pondéré (classes de 5 ans) et boîte à moustaches (W4)</w:t>
      </w:r>
    </w:p>
    <w:p>
      <w:pPr>
        <w:pStyle w:val="Corpsdetexte"/>
      </w:pPr>
      <w:r>
        <w:t xml:space="preserve">L’âge moyen pondéré est de</w:t>
      </w:r>
      <w:r>
        <w:t xml:space="preserve"> </w:t>
      </w:r>
      <w:r>
        <w:rPr>
          <w:b/>
          <w:bCs/>
        </w:rPr>
        <w:t xml:space="preserve">27.8 ans</w:t>
      </w:r>
      <w:r>
        <w:t xml:space="preserve"> </w:t>
      </w:r>
      <w:r>
        <w:t xml:space="preserve">et la médiane de</w:t>
      </w:r>
      <w:r>
        <w:t xml:space="preserve"> </w:t>
      </w:r>
      <w:r>
        <w:rPr>
          <w:b/>
          <w:bCs/>
        </w:rPr>
        <w:t xml:space="preserve">18 ans</w:t>
      </w:r>
      <w:r>
        <w:t xml:space="preserve"> </w:t>
      </w:r>
      <w:r>
        <w:t xml:space="preserve">: plus de la moitié de la population a moins de 18 ans, révélant une structure démographique très jeune. L’écart de près de 10 ans entre moyenne et médiane reflète l’asymétrie positive de la distribution (coefficient = 0.995), tirée vers le haut par les individus âgés. Le coefficient de variation de 77.3 % confirme une très forte hétérogénéité des âges au sein des ménages. La normalité est rejetée par le test de Shapiro-Wilk (W = 0.9013, p &lt; 2,2 × 10⁻¹⁶), résultat attendu sur une distribution en pyramide. L</w:t>
      </w:r>
    </w:p>
    <w:bookmarkEnd w:id="28"/>
    <w:bookmarkEnd w:id="29"/>
    <w:bookmarkStart w:id="30" w:name="pyramide-des-âges-par-sexe"/>
    <w:p>
      <w:pPr>
        <w:pStyle w:val="Titre1"/>
      </w:pPr>
      <w:r>
        <w:t xml:space="preserve">Pyramide des âges par sexe</w:t>
      </w:r>
    </w:p>
    <w:p>
      <w:pPr>
        <w:pStyle w:val="FirstParagraph"/>
      </w:pPr>
      <w:r>
        <w:t xml:space="preserve">Les individus sont répartis en 18 groupes quinquennaux (0–4 ans à 85+), avec les</w:t>
      </w:r>
      <w:r>
        <w:t xml:space="preserve"> </w:t>
      </w:r>
      <w:r>
        <w:rPr>
          <w:b/>
          <w:bCs/>
        </w:rPr>
        <w:t xml:space="preserve">hommes à gauche et les femmes à droite</w:t>
      </w:r>
      <w:r>
        <w:t xml:space="preserve"> </w:t>
      </w:r>
      <w:r>
        <w:t xml:space="preserve">(convention internationale). Les effectifs sont pondérés par le poids individuel.</w:t>
      </w:r>
    </w:p>
    <w:p>
      <w:pPr>
        <w:jc w:val="center"/>
        <w:pStyle w:val="Figure"/>
      </w:pPr>
      <w:r>
        <w:rPr/>
        <w:drawing>
          <wp:inline distT="0" distB="0" distL="0" distR="0">
            <wp:extent cx="3657600" cy="292608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3"/>
                    <a:stretch>
                      <a:fillRect/>
                    </a:stretch>
                  </pic:blipFill>
                  <pic:spPr bwMode="auto">
                    <a:xfrm>
                      <a:off x="0" y="0"/>
                      <a:ext cx="3657600" cy="2926080"/>
                    </a:xfrm>
                    <a:prstGeom prst="rect">
                      <a:avLst/>
                    </a:prstGeom>
                    <a:noFill/>
                  </pic:spPr>
                </pic:pic>
              </a:graphicData>
            </a:graphic>
          </wp:inline>
        </w:drawing>
      </w:r>
    </w:p>
    <w:p>
      <w:pPr>
        <w:pStyle w:val="ImageCaption"/>
      </w:pPr>
      <w:r>
        <w:rPr>
          <w:rFonts/>
          <w:b w:val="true"/>
          <w:strike w:val="false"/>
        </w:rPr>
        <w:t xml:space="preserve">Figure </w:t>
      </w:r>
      <w:bookmarkStart w:id="4e004a65-f340-441c-83f4-46536fa29115" w:name="fig-pyramid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4e004a65-f340-441c-83f4-46536fa29115"/>
      <w:r>
        <w:rPr>
          <w:rFonts/>
          <w:b w:val="true"/>
          <w:strike w:val="false"/>
        </w:rPr>
        <w:t xml:space="preserve">: </w:t>
      </w:r>
      <w:r>
        <w:t xml:space="preserve">Pyramide des âges par groupe quinquennal et par sexe — Nigeria GHS Panel W4 (effectifs pondérés)</w:t>
      </w:r>
    </w:p>
    <w:p>
      <w:pPr>
        <w:pStyle w:val="Corpsdetexte"/>
      </w:pPr>
      <w:r>
        <w:t xml:space="preserve">La pyramide adopte une</w:t>
      </w:r>
      <w:r>
        <w:t xml:space="preserve"> </w:t>
      </w:r>
      <w:r>
        <w:rPr>
          <w:b/>
          <w:bCs/>
        </w:rPr>
        <w:t xml:space="preserve">forme expansive</w:t>
      </w:r>
      <w:r>
        <w:t xml:space="preserve"> </w:t>
      </w:r>
      <w:r>
        <w:t xml:space="preserve">caractéristique des populations à fécondité élevée : base très large sur les groupes 0–14 ans — les cohortes 5–9 et 10–14 ans étant les plus importantes — puis rétrécissement progressif. La répartition entre hommes et femmes est équilibrée dans les groupes jeunes, avec une légère dominance féminine à partir de 35 ans, cohérente avec une espérance de vie féminine supérieure. Le groupe 15–19 ans est moins nombreux que le groupe 10–14 ans.</w:t>
      </w:r>
    </w:p>
    <w:bookmarkEnd w:id="30"/>
    <w:bookmarkStart w:id="31" w:name="lien-de-parenté-avec-le-chef-de-ménage"/>
    <w:p>
      <w:pPr>
        <w:pStyle w:val="Titre1"/>
      </w:pPr>
      <w:r>
        <w:t xml:space="preserve">Lien de parenté avec le chef de ménage</w:t>
      </w:r>
    </w:p>
    <w:p>
      <w:pPr>
        <w:pStyle w:val="FirstParagraph"/>
      </w:pPr>
      <w:r>
        <w:t xml:space="preserve">La variable</w:t>
      </w:r>
      <w:r>
        <w:t xml:space="preserve"> </w:t>
      </w:r>
      <w:r>
        <w:rPr>
          <w:i/>
          <w:iCs/>
        </w:rPr>
        <w:t xml:space="preserve">Lien de parenté avec le chef de ménage</w:t>
      </w:r>
      <w:r>
        <w:t xml:space="preserve"> </w:t>
      </w:r>
      <w:r>
        <w:t xml:space="preserve">renseigne 14 modalités. Les modalités « enfant biologique », « enfant adoptif » et « beau-fils/belle-fille » sont regroupées en « Enfant du chef ». Les proportions sont estimées sur effectifs pondérés ; les intervalles de confiance à 95 % sont issus du test binomial exact.</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Proportions pondérées du lien de parenté avec IC à 95 % — W4</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Lien de parenté</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Effectif brut</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Proportion pond.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IC 95 % inf.</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IC 95 % sup.</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Enfant du chef</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14,902</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45.8 %</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55.6 %</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56.8 %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Chef de ménage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29.5 %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Conjoint(e)</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4,269</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16.1 %</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15.6 %</w:t>
            </w:r>
          </w:p>
        </w:tc>
        <w:tc>
          <w:tcPr>
            <w:tcBorders>
              <w:bottom w:val="single" w:sz="6" w:space="0" w:color="666666"/>
              <w:top w:val="single" w:sz="6"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16.5 %</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Autre membre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2,386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8.5 %</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8.7 %</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9.3 %</w:t>
            </w:r>
          </w:p>
        </w:tc>
      </w:tr>
    </w:tbl>
    <w:p>
      <w:pPr>
        <w:jc w:val="center"/>
        <w:pStyle w:val="Figure"/>
      </w:pPr>
      <w:r>
        <w:rPr/>
        <w:drawing>
          <wp:inline distT="0" distB="0" distL="0" distR="0">
            <wp:extent cx="4114800" cy="329184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4"/>
                    <a:stretch>
                      <a:fillRect/>
                    </a:stretch>
                  </pic:blipFill>
                  <pic:spPr bwMode="auto">
                    <a:xfrm>
                      <a:off x="0" y="0"/>
                      <a:ext cx="4114800" cy="3291840"/>
                    </a:xfrm>
                    <a:prstGeom prst="rect">
                      <a:avLst/>
                    </a:prstGeom>
                    <a:noFill/>
                  </pic:spPr>
                </pic:pic>
              </a:graphicData>
            </a:graphic>
          </wp:inline>
        </w:drawing>
      </w:r>
    </w:p>
    <w:p>
      <w:pPr>
        <w:pStyle w:val="ImageCaption"/>
      </w:pPr>
      <w:r>
        <w:rPr>
          <w:rFonts/>
          <w:b w:val="true"/>
          <w:strike w:val="false"/>
        </w:rPr>
        <w:t xml:space="preserve">Figure </w:t>
      </w:r>
      <w:bookmarkStart w:id="eb4635a4-3b6d-42ac-9491-93678a3042ac" w:name="fig-lien"/>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eb4635a4-3b6d-42ac-9491-93678a3042ac"/>
      <w:r>
        <w:rPr>
          <w:rFonts/>
          <w:b w:val="true"/>
          <w:strike w:val="false"/>
        </w:rPr>
        <w:t xml:space="preserve">: </w:t>
      </w:r>
      <w:r>
        <w:t xml:space="preserve">Lien de parenté avec le chef de ménage — proportions pondérées avec intervalles de confiance à 95 % (W4)</w:t>
      </w:r>
    </w:p>
    <w:p>
      <w:pPr>
        <w:pStyle w:val="Corpsdetexte"/>
      </w:pPr>
      <w:r>
        <w:t xml:space="preserve">Les enfants du chef constituent la catégorie dominante avec</w:t>
      </w:r>
      <w:r>
        <w:t xml:space="preserve"> </w:t>
      </w:r>
      <w:r>
        <w:rPr>
          <w:b/>
          <w:bCs/>
        </w:rPr>
        <w:t xml:space="preserve">45.8 %</w:t>
      </w:r>
      <w:r>
        <w:t xml:space="preserve"> </w:t>
      </w:r>
      <w:r>
        <w:t xml:space="preserve">des membres résidents [IC 95 % : 55.6 – 56.8 %], témoignant d’une fécondité élevée. Les chefs de ménage représentent 29.5 % [IC 95 % : 18.3 – 19.2 %] et les conjoints 16.1 % [IC 95 % : 15.6 – 16.5 %]. La catégorie « Autre membre » recouvre des parents élargis et membres non apparentés. Les intervalles de confiance très étroits confirment la précision des estimations.</w:t>
      </w:r>
    </w:p>
    <w:bookmarkEnd w:id="31"/>
    <w:bookmarkStart w:id="32" w:name="Xa6d351d8b7b9df5f80d5e2641ff4320802e6db3"/>
    <w:p>
      <w:pPr>
        <w:pStyle w:val="Titre1"/>
      </w:pPr>
      <w:r>
        <w:t xml:space="preserve">Taille des ménages selon le milieu de résidence</w:t>
      </w:r>
    </w:p>
    <w:p>
      <w:pPr>
        <w:pStyle w:val="FirstParagraph"/>
      </w:pPr>
      <w:r>
        <w:t xml:space="preserve">La taille du ménage est définie comme le nombre de membres présents après filtrage. La comparaison rural/urbain est effectuée par un</w:t>
      </w:r>
      <w:r>
        <w:t xml:space="preserve"> </w:t>
      </w:r>
      <w:r>
        <w:rPr>
          <w:b/>
          <w:bCs/>
        </w:rPr>
        <w:t xml:space="preserve">test de Wilcoxon-Mann-Whitney</w:t>
      </w:r>
      <w:r>
        <w:t xml:space="preserve"> </w:t>
      </w:r>
      <w:r>
        <w:t xml:space="preserve">(la distribution de l’âge n’étant pas normale), et la taille d’effet est mesurée par le</w:t>
      </w:r>
      <w:r>
        <w:t xml:space="preserve"> </w:t>
      </w:r>
      <w:r>
        <w:rPr>
          <w:i/>
          <w:iCs/>
        </w:rPr>
        <w:t xml:space="preserve">r</w:t>
      </w:r>
      <w:r>
        <w:t xml:space="preserve"> </w:t>
      </w:r>
      <w:r>
        <w:t xml:space="preserve">de rang de Cohen.</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Taille des ménages par milieu de résidence — statistiques pondérées (W4)</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Milieu de résidence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N ménages</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Taille moyenne pond.</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Médiane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Q1</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Q3</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Rural</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3,384</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5.87</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0F5F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Urbain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r>
    </w:tbl>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Résultats du test de Wilcoxon-Mann-Whitney — taille des ménages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Statistique W</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p-valeur</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r de rang</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Interprétation</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3 093 010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 2,2 × 10⁻¹⁶</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Petite (Cohen)</w:t>
            </w:r>
          </w:p>
        </w:tc>
      </w:tr>
    </w:tbl>
    <w:p>
      <w:pPr>
        <w:jc w:val="center"/>
        <w:pStyle w:val="Figure"/>
      </w:pPr>
      <w:r>
        <w:rPr/>
        <w:drawing>
          <wp:inline distT="0" distB="0" distL="0" distR="0">
            <wp:extent cx="3429000" cy="27432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
                    <a:stretch>
                      <a:fillRect/>
                    </a:stretch>
                  </pic:blipFill>
                  <pic:spPr bwMode="auto">
                    <a:xfrm>
                      <a:off x="0" y="0"/>
                      <a:ext cx="3429000" cy="2743200"/>
                    </a:xfrm>
                    <a:prstGeom prst="rect">
                      <a:avLst/>
                    </a:prstGeom>
                    <a:noFill/>
                  </pic:spPr>
                </pic:pic>
              </a:graphicData>
            </a:graphic>
          </wp:inline>
        </w:drawing>
      </w:r>
    </w:p>
    <w:p>
      <w:pPr>
        <w:pStyle w:val="ImageCaption"/>
      </w:pPr>
      <w:r>
        <w:rPr>
          <w:rFonts/>
          <w:b w:val="true"/>
          <w:strike w:val="false"/>
        </w:rPr>
        <w:t xml:space="preserve">Figure </w:t>
      </w:r>
      <w:bookmarkStart w:id="03e3118c-6cba-4d25-8404-81964a8a72b1" w:name="fig-taille"/>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03e3118c-6cba-4d25-8404-81964a8a72b1"/>
      <w:r>
        <w:rPr>
          <w:rFonts/>
          <w:b w:val="true"/>
          <w:strike w:val="false"/>
        </w:rPr>
        <w:t xml:space="preserve">: </w:t>
      </w:r>
      <w:r>
        <w:t xml:space="preserve">Taille des ménages selon le milieu de résidence — Test de Wilcoxon-Mann-Whitney (W4)</w:t>
      </w:r>
    </w:p>
    <w:p>
      <w:pPr>
        <w:pStyle w:val="Corpsdetexte"/>
      </w:pPr>
      <w:r>
        <w:t xml:space="preserve">Les ménages ruraux ont une taille médiane de</w:t>
      </w:r>
      <w:r>
        <w:t xml:space="preserve"> </w:t>
      </w:r>
      <w:r>
        <w:rPr>
          <w:b/>
          <w:bCs/>
        </w:rPr>
        <w:t xml:space="preserve">5 membres</w:t>
      </w:r>
      <w:r>
        <w:t xml:space="preserve"> </w:t>
      </w:r>
      <w:r>
        <w:t xml:space="preserve">contre</w:t>
      </w:r>
      <w:r>
        <w:t xml:space="preserve"> </w:t>
      </w:r>
      <w:r>
        <w:rPr>
          <w:b/>
          <w:bCs/>
        </w:rPr>
        <w:t xml:space="preserve">4 en zone urbaine</w:t>
      </w:r>
      <w:r>
        <w:t xml:space="preserve">. La différence est hautement significative (p &lt; 2,2 × 10⁻¹⁶). Cependant, la taille d’effet</w:t>
      </w:r>
      <w:r>
        <w:t xml:space="preserve"> </w:t>
      </w:r>
      <w:r>
        <w:rPr>
          <w:i/>
          <w:iCs/>
        </w:rPr>
        <w:t xml:space="preserve">r</w:t>
      </w:r>
      <w:r>
        <w:t xml:space="preserve"> </w:t>
      </w:r>
      <w:r>
        <w:t xml:space="preserve">= 0.12 est</w:t>
      </w:r>
      <w:r>
        <w:t xml:space="preserve"> </w:t>
      </w:r>
      <w:r>
        <w:rPr>
          <w:b/>
          <w:bCs/>
        </w:rPr>
        <w:t xml:space="preserve">petite au sens de Cohen</w:t>
      </w:r>
      <w:r>
        <w:t xml:space="preserve"> </w:t>
      </w:r>
      <w:r>
        <w:t xml:space="preserve">: la significativité statistique est amplifiée par la taille de l’échantillon, mais la différence d’un membre en médiane a une portée socio-économique concrète. Les ménages ruraux plus grands s’expliquent par une fécondité plus élevée, un recours à la main-d’œuvre familiale agricole et des structures familiales élargies plus fréquentes.</w:t>
      </w:r>
    </w:p>
    <w:bookmarkEnd w:id="32"/>
    <w:bookmarkStart w:id="33" w:name="tableau-récapitulatif-stratifié"/>
    <w:p>
      <w:pPr>
        <w:pStyle w:val="Titre1"/>
      </w:pPr>
      <w:r>
        <w:t xml:space="preserve">Tableau récapitulatif stratifié</w:t>
      </w:r>
    </w:p>
    <w:tbl xmlns:w14="http://schemas.microsoft.com/office/word/2010/wordml">
      <w:tblPr>
        <w:tblLayout w:type="autofit"/>
        <w:jc w:val="center"/>
        <w:tblW w:type="pct" w:w="5000"/>
        <w:tblLook w:firstRow="1" w:lastRow="0" w:firstColumn="0" w:lastColumn="0" w:noHBand="0" w:noVBand="1"/>
      </w:tblPr>
      <w:tr>
        <w:trPr>
          <w:trHeight w:val="73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Caractéristique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Ensemble</w:t>
            </w:r>
            <w:r>
              <w:rPr>
                <w:rFonts w:ascii="Arial" w:hAnsi="Arial" w:eastAsia="Arial" w:cs="Arial"/>
                <w:i w:val="false"/>
                <w:b w:val="true"/>
                <w:u w:val="none"/>
                <w:strike w:val="false"/>
                <w:sz w:val="18"/>
                <w:szCs w:val="18"/>
                <w:color w:val="000000"/>
              </w:rPr>
              <w:br/>
            </w:r>
            <w:r>
              <w:rPr>
                <w:rFonts w:ascii="Arial" w:hAnsi="Arial" w:eastAsia="Arial" w:cs="Arial"/>
                <w:i w:val="false"/>
                <w:b w:val="true"/>
                <w:u w:val="none"/>
                <w:strike w:val="false"/>
                <w:sz w:val="18"/>
                <w:szCs w:val="18"/>
                <w:color w:val="000000"/>
              </w:rPr>
              <w:t xml:space="preserve">N = 26533</w:t>
            </w:r>
            <w:r>
              <w:rPr>
                <w:rFonts w:ascii="Arial" w:hAnsi="Arial" w:eastAsia="Arial" w:cs="Arial"/>
                <w:i w:val="false"/>
                <w:b w:val="tru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Rural</w:t>
            </w:r>
            <w:r>
              <w:rPr>
                <w:rFonts w:ascii="Arial" w:hAnsi="Arial" w:eastAsia="Arial" w:cs="Arial"/>
                <w:i w:val="false"/>
                <w:b w:val="true"/>
                <w:u w:val="none"/>
                <w:strike w:val="false"/>
                <w:sz w:val="18"/>
                <w:szCs w:val="18"/>
                <w:color w:val="000000"/>
              </w:rPr>
              <w:br/>
            </w:r>
            <w:r>
              <w:rPr>
                <w:rFonts w:ascii="Arial" w:hAnsi="Arial" w:eastAsia="Arial" w:cs="Arial"/>
                <w:i w:val="false"/>
                <w:b w:val="true"/>
                <w:u w:val="none"/>
                <w:strike w:val="false"/>
                <w:sz w:val="18"/>
                <w:szCs w:val="18"/>
                <w:color w:val="000000"/>
              </w:rPr>
              <w:t xml:space="preserve">N = 26533</w:t>
            </w:r>
            <w:r>
              <w:rPr>
                <w:rFonts w:ascii="Arial" w:hAnsi="Arial" w:eastAsia="Arial" w:cs="Arial"/>
                <w:i w:val="false"/>
                <w:b w:val="tru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Urbain</w:t>
            </w:r>
            <w:r>
              <w:rPr>
                <w:rFonts w:ascii="Arial" w:hAnsi="Arial" w:eastAsia="Arial" w:cs="Arial"/>
                <w:i w:val="false"/>
                <w:b w:val="true"/>
                <w:u w:val="none"/>
                <w:strike w:val="false"/>
                <w:sz w:val="18"/>
                <w:szCs w:val="18"/>
                <w:color w:val="000000"/>
              </w:rPr>
              <w:br/>
            </w:r>
            <w:r>
              <w:rPr>
                <w:rFonts w:ascii="Arial" w:hAnsi="Arial" w:eastAsia="Arial" w:cs="Arial"/>
                <w:i w:val="false"/>
                <w:b w:val="true"/>
                <w:u w:val="none"/>
                <w:strike w:val="false"/>
                <w:sz w:val="18"/>
                <w:szCs w:val="18"/>
                <w:color w:val="000000"/>
              </w:rPr>
              <w:t xml:space="preserve">N = 26533</w:t>
            </w:r>
            <w:r>
              <w:rPr>
                <w:rFonts w:ascii="Arial" w:hAnsi="Arial" w:eastAsia="Arial" w:cs="Arial"/>
                <w:i w:val="false"/>
                <w:b w:val="true"/>
                <w:u w:val="none"/>
                <w:strike w:val="fals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p-valeur</w:t>
            </w:r>
            <w:r>
              <w:rPr>
                <w:rFonts w:ascii="Arial" w:hAnsi="Arial" w:eastAsia="Arial" w:cs="Arial"/>
                <w:i w:val="false"/>
                <w:b w:val="true"/>
                <w:u w:val="none"/>
                <w:strike w:val="false"/>
                <w:vertAlign w:val="superscript"/>
                <w:sz w:val="18"/>
                <w:szCs w:val="18"/>
                <w:color w:val="000000"/>
              </w:rPr>
              <w:t xml:space="preserve">2</w:t>
            </w:r>
          </w:p>
        </w:tc>
      </w:tr>
      <w:tr>
        <w:trPr>
          <w:trHeight w:val="632" w:hRule="auto"/>
        </w:trPr>
        <w:tc>
          <w:tcPr>
            <w:tcBorders>
              <w:bottom w:val="single" w:sz="6"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Âge (années révolues)</w:t>
            </w:r>
          </w:p>
        </w:tc>
        <w:tc>
          <w:tcPr>
            <w:tcBorders>
              <w:bottom w:val="single" w:sz="6"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 [8.0 – 36.0]</w:t>
            </w:r>
          </w:p>
        </w:tc>
        <w:tc>
          <w:tcPr>
            <w:tcBorders>
              <w:bottom w:val="single" w:sz="6"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17.0 [8.0 – 35.0]</w:t>
            </w:r>
          </w:p>
        </w:tc>
        <w:tc>
          <w:tcPr>
            <w:tcBorders>
              <w:bottom w:val="single" w:sz="6"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19.0 [9.0 – 38.0]</w:t>
            </w:r>
          </w:p>
        </w:tc>
        <w:tc>
          <w:tcPr>
            <w:tcBorders>
              <w:bottom w:val="single" w:sz="6"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55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Sexe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59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Homme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13,177 (50%)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9,458 (50%)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3,719 (49%)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598"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Femme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13,356 (50%)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9,531 (50%)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3,825 (51%)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w:r>
          </w:p>
        </w:tc>
      </w:tr>
      <w:tr>
        <w:trPr>
          <w:trHeight w:val="598" w:hRule="auto"/>
        </w:trPr>
        <w:tc>
          <w:tcPr>
            <w:tcBorders>
              <w:bottom w:val="single" w:sz="8"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Taille du ménage (membres)</w:t>
            </w:r>
          </w:p>
        </w:tc>
        <w:tc>
          <w:tcPr>
            <w:tcBorders>
              <w:bottom w:val="single" w:sz="8"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 [5.0 – 9.0]</w:t>
            </w:r>
          </w:p>
        </w:tc>
        <w:tc>
          <w:tcPr>
            <w:tcBorders>
              <w:bottom w:val="single" w:sz="8"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 [5.0 – 10.0]</w:t>
            </w:r>
          </w:p>
        </w:tc>
        <w:tc>
          <w:tcPr>
            <w:tcBorders>
              <w:bottom w:val="single" w:sz="8"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 [4.0 – 8.0]</w:t>
            </w:r>
          </w:p>
        </w:tc>
        <w:tc>
          <w:tcPr>
            <w:tcBorders>
              <w:bottom w:val="single" w:sz="8"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&lt;0.001</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vertAlign w:val="superscript"/>
                <w:sz w:val="18"/>
                <w:szCs w:val="18"/>
                <w:color w:val="000000"/>
              </w:rPr>
              <w:t xml:space="preserve">1</w:t>
            </w:r>
            <w:r>
              <w:rPr>
                <w:rFonts w:ascii="Arial" w:hAnsi="Arial" w:eastAsia="Arial" w:cs="Arial"/>
                <w:i w:val="false"/>
                <w:b w:val="false"/>
                <w:u w:val="none"/>
                <w:strike w:val="false"/>
                <w:sz w:val="18"/>
                <w:szCs w:val="18"/>
                <w:color w:val="000000"/>
              </w:rPr>
              <w:t xml:space="preserve">Median [Q1 – Q3]; 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vertAlign w:val="superscript"/>
                <w:sz w:val="18"/>
                <w:szCs w:val="18"/>
                <w:color w:val="000000"/>
              </w:rPr>
              <w:t xml:space="preserve">2</w:t>
            </w:r>
            <w:r>
              <w:rPr>
                <w:rFonts w:ascii="Arial" w:hAnsi="Arial" w:eastAsia="Arial" w:cs="Arial"/>
                <w:i w:val="false"/>
                <w:b w:val="false"/>
                <w:u w:val="none"/>
                <w:strike w:val="false"/>
                <w:sz w:val="18"/>
                <w:szCs w:val="18"/>
                <w:color w:val="000000"/>
              </w:rPr>
              <w:t xml:space="preserve">Wilcoxon-Mann-Whitney (cont.) ; Chi-deux (catégoriel)</w:t>
            </w:r>
          </w:p>
        </w:tc>
      </w:tr>
    </w:tbl>
    <w:p>
      <w:pPr>
        <w:pStyle w:val="FirstParagraph"/>
      </w:pPr>
      <w:r>
        <w:t xml:space="preserve">L’âge médian est légèrement plus élevé en zone urbaine (19 ans [9–38]) qu’en zone rurale (17 ans [8–35]), différence significative (p &lt; 0,001). La répartition par sexe est parfaitement équilibrée dans les deux zones (p = 0,5), validant la qualité de l’échantillonnage. La taille du ménage est systématiquement plus élevée en milieu rural (médiane 7 [5–10] contre 6 [4–8] en urbain, p &lt; 0,001).</w:t>
      </w:r>
    </w:p>
    <w:bookmarkEnd w:id="33"/>
    <w:bookmarkStart w:id="34" w:name="conclusion"/>
    <w:p>
      <w:pPr>
        <w:pStyle w:val="Titre1"/>
      </w:pPr>
      <w:r>
        <w:t xml:space="preserve">Conclusion</w:t>
      </w:r>
    </w:p>
    <w:p>
      <w:pPr>
        <w:pStyle w:val="FirstParagraph"/>
      </w:pPr>
      <w:r>
        <w:t xml:space="preserve">Cette analyse met en évidence trois résultats majeurs.</w:t>
      </w:r>
      <w:r>
        <w:t xml:space="preserve"> </w:t>
      </w:r>
      <w:r>
        <w:rPr>
          <w:b/>
          <w:bCs/>
        </w:rPr>
        <w:t xml:space="preserve">Premièrement</w:t>
      </w:r>
      <w:r>
        <w:t xml:space="preserve">, la population nigériane est très jeune (médiane = 18 ans), avec une pyramide expansive dominée par les 0–14 ans, typique d’une fécondité totale élevée.</w:t>
      </w:r>
      <w:r>
        <w:t xml:space="preserve"> </w:t>
      </w:r>
      <w:r>
        <w:rPr>
          <w:b/>
          <w:bCs/>
        </w:rPr>
        <w:t xml:space="preserve">Deuxièmement</w:t>
      </w:r>
      <w:r>
        <w:t xml:space="preserve">, les enfants du chef constituent près de la moitié des membres résidents (45.8 % [IC 95 % : 55.6 – 56.8 %]), reflétant des structures familiales larges et multigénérationnelles.</w:t>
      </w:r>
      <w:r>
        <w:t xml:space="preserve"> </w:t>
      </w:r>
      <w:r>
        <w:rPr>
          <w:b/>
          <w:bCs/>
        </w:rPr>
        <w:t xml:space="preserve">Troisièmement</w:t>
      </w:r>
      <w:r>
        <w:t xml:space="preserve">, les ménages ruraux sont significativement plus grands que les ménages urbains (p &lt; 2,2 × 10⁻¹⁶), différence d’amplitude modérée (</w:t>
      </w:r>
      <w:r>
        <w:rPr>
          <w:i/>
          <w:iCs/>
        </w:rPr>
        <w:t xml:space="preserve">r</w:t>
      </w:r>
      <w:r>
        <w:t xml:space="preserve"> </w:t>
      </w:r>
      <w:r>
        <w:t xml:space="preserve">= 0.12) mais aux implications socio-économiques concrètes.</w:t>
      </w:r>
    </w:p>
    <w:p>
      <w:r>
        <w:pict>
          <v:rect style="width:0;height:1.5pt" o:hralign="center" o:hrstd="t" o:hr="t"/>
        </w:pict>
      </w:r>
    </w:p>
    <w:p>
      <w:pPr>
        <w:pStyle w:val="FirstParagraph"/>
      </w:pPr>
      <w:r>
        <w:rPr>
          <w:i/>
          <w:iCs/>
        </w:rPr>
        <w:t xml:space="preserve">Packages R :</w:t>
      </w:r>
      <w:r>
        <w:rPr>
          <w:i/>
          <w:iCs/>
        </w:rPr>
        <w:t xml:space="preserve"> </w:t>
      </w:r>
      <w:r>
        <w:rPr>
          <w:rStyle w:val="VerbatimChar"/>
          <w:i/>
          <w:iCs/>
        </w:rPr>
        <w:t xml:space="preserve">haven</w:t>
      </w:r>
      <w:r>
        <w:rPr>
          <w:i/>
          <w:iCs/>
        </w:rPr>
        <w:t xml:space="preserve">,</w:t>
      </w:r>
      <w:r>
        <w:rPr>
          <w:i/>
          <w:iCs/>
        </w:rPr>
        <w:t xml:space="preserve"> </w:t>
      </w:r>
      <w:r>
        <w:rPr>
          <w:rStyle w:val="VerbatimChar"/>
          <w:i/>
          <w:iCs/>
        </w:rPr>
        <w:t xml:space="preserve">dplyr</w:t>
      </w:r>
      <w:r>
        <w:rPr>
          <w:i/>
          <w:iCs/>
        </w:rPr>
        <w:t xml:space="preserve">,</w:t>
      </w:r>
      <w:r>
        <w:rPr>
          <w:i/>
          <w:iCs/>
        </w:rPr>
        <w:t xml:space="preserve"> </w:t>
      </w:r>
      <w:r>
        <w:rPr>
          <w:rStyle w:val="VerbatimChar"/>
          <w:i/>
          <w:iCs/>
        </w:rPr>
        <w:t xml:space="preserve">ggplot2</w:t>
      </w:r>
      <w:r>
        <w:rPr>
          <w:i/>
          <w:iCs/>
        </w:rPr>
        <w:t xml:space="preserve">,</w:t>
      </w:r>
      <w:r>
        <w:rPr>
          <w:i/>
          <w:iCs/>
        </w:rPr>
        <w:t xml:space="preserve"> </w:t>
      </w:r>
      <w:r>
        <w:rPr>
          <w:rStyle w:val="VerbatimChar"/>
          <w:i/>
          <w:iCs/>
        </w:rPr>
        <w:t xml:space="preserve">gtsummary</w:t>
      </w:r>
      <w:r>
        <w:rPr>
          <w:i/>
          <w:iCs/>
        </w:rPr>
        <w:t xml:space="preserve">,</w:t>
      </w:r>
      <w:r>
        <w:rPr>
          <w:i/>
          <w:iCs/>
        </w:rPr>
        <w:t xml:space="preserve"> </w:t>
      </w:r>
      <w:r>
        <w:rPr>
          <w:rStyle w:val="VerbatimChar"/>
          <w:i/>
          <w:iCs/>
        </w:rPr>
        <w:t xml:space="preserve">rstatix</w:t>
      </w:r>
      <w:r>
        <w:rPr>
          <w:i/>
          <w:iCs/>
        </w:rPr>
        <w:t xml:space="preserve">,</w:t>
      </w:r>
      <w:r>
        <w:rPr>
          <w:i/>
          <w:iCs/>
        </w:rPr>
        <w:t xml:space="preserve"> </w:t>
      </w:r>
      <w:r>
        <w:rPr>
          <w:rStyle w:val="VerbatimChar"/>
          <w:i/>
          <w:iCs/>
        </w:rPr>
        <w:t xml:space="preserve">patchwork</w:t>
      </w:r>
      <w:r>
        <w:rPr>
          <w:i/>
          <w:iCs/>
        </w:rPr>
        <w:t xml:space="preserve">,</w:t>
      </w:r>
      <w:r>
        <w:rPr>
          <w:i/>
          <w:iCs/>
        </w:rPr>
        <w:t xml:space="preserve"> </w:t>
      </w:r>
      <w:r>
        <w:rPr>
          <w:rStyle w:val="VerbatimChar"/>
          <w:i/>
          <w:iCs/>
        </w:rPr>
        <w:t xml:space="preserve">naniar</w:t>
      </w:r>
      <w:r>
        <w:rPr>
          <w:i/>
          <w:iCs/>
        </w:rPr>
        <w:t xml:space="preserve">,</w:t>
      </w:r>
      <w:r>
        <w:rPr>
          <w:i/>
          <w:iCs/>
        </w:rPr>
        <w:t xml:space="preserve"> </w:t>
      </w:r>
      <w:r>
        <w:rPr>
          <w:rStyle w:val="VerbatimChar"/>
          <w:i/>
          <w:iCs/>
        </w:rPr>
        <w:t xml:space="preserve">knitr</w:t>
      </w:r>
      <w:r>
        <w:rPr>
          <w:i/>
          <w:iCs/>
        </w:rPr>
        <w:t xml:space="preserve">,</w:t>
      </w:r>
      <w:r>
        <w:rPr>
          <w:i/>
          <w:iCs/>
        </w:rPr>
        <w:t xml:space="preserve"> </w:t>
      </w:r>
      <w:r>
        <w:rPr>
          <w:rStyle w:val="VerbatimChar"/>
          <w:i/>
          <w:iCs/>
        </w:rPr>
        <w:t xml:space="preserve">flextable</w:t>
      </w:r>
      <w:r>
        <w:rPr>
          <w:i/>
          <w:iCs/>
        </w:rPr>
        <w:t xml:space="preserve">,</w:t>
      </w:r>
      <w:r>
        <w:rPr>
          <w:i/>
          <w:iCs/>
        </w:rPr>
        <w:t xml:space="preserve"> </w:t>
      </w:r>
      <w:r>
        <w:rPr>
          <w:rStyle w:val="VerbatimChar"/>
          <w:i/>
          <w:iCs/>
        </w:rPr>
        <w:t xml:space="preserve">officedown</w:t>
      </w:r>
      <w:r>
        <w:rPr>
          <w:i/>
          <w:iCs/>
        </w:rPr>
        <w:t xml:space="preserve">,</w:t>
      </w:r>
      <w:r>
        <w:rPr>
          <w:i/>
          <w:iCs/>
        </w:rPr>
        <w:t xml:space="preserve"> </w:t>
      </w:r>
      <w:r>
        <w:rPr>
          <w:rStyle w:val="VerbatimChar"/>
          <w:i/>
          <w:iCs/>
        </w:rPr>
        <w:t xml:space="preserve">officer</w:t>
      </w:r>
      <w:r>
        <w:rPr>
          <w:i/>
          <w:iCs/>
        </w:rPr>
        <w:t xml:space="preserve"> </w:t>
      </w:r>
      <w:r>
        <w:rPr>
          <w:i/>
          <w:iCs/>
        </w:rPr>
        <w:t xml:space="preserve">| Source : Nigeria GHS Panel W4, NBS &amp; Banque Mondiale, 2019.</w:t>
      </w:r>
    </w:p>
    <w:bookmarkEnd w:id="34"/>
    <w:sectPr w:rsidR="005E0C3D" w:rsidSect="00084E93">
      <w:footerReference r:id="rId10" w:type="even"/>
      <w:footerReference r:id="rId9" w:type="default"/>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bering>
</file>

<file path=word/settings.xml><?xml version="1.0" encoding="utf-8"?>
<w:settings xmlns:w="http://schemas.openxmlformats.org/wordprocessingml/2006/main">
  <w:zoom w:percent="77"/>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11" Type="http://schemas.openxmlformats.org/officeDocument/2006/relationships/image" Target="media/bf460ee0457120522eb194b29e429954a3b71af5.png"/>
<Relationship Id="rId12" Type="http://schemas.openxmlformats.org/officeDocument/2006/relationships/image" Target="media/21444e9b8d076c0e56aff2d683bf9af2996538d9.png"/>
<Relationship Id="rId13" Type="http://schemas.openxmlformats.org/officeDocument/2006/relationships/image" Target="media/231729947e0e67f145a9b5b820dd8841a50c9840.png"/>
<Relationship Id="rId14" Type="http://schemas.openxmlformats.org/officeDocument/2006/relationships/image" Target="media/28a14521d3fe6f0ea606e74f71a05db3da926cbd.png"/>
<Relationship Id="rId15" Type="http://schemas.openxmlformats.org/officeDocument/2006/relationships/image" Target="media/4cf9803e898c397f8d997ff24891c2881413cba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Profil démographique des ménages nigérians</dc:title>
  <dc:creator>DIOP Marème &amp; KANE Boubacar — Élèves Ingénieurs Statisticiens Économistes, ENSAE Dakar</dc:creator>
  <cp:keywords/>
  <dcterms:created xsi:type="dcterms:W3CDTF">2026-03-24T11:52:41Z</dcterms:created>
  <dcterms:modified xsi:type="dcterms:W3CDTF">2026-03-24T11:52:43Z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mars 2026</vt:lpwstr>
  </property>
  <property fmtid="{D5CDD505-2E9C-101B-9397-08002B2CF9AE}" pid="3" name="output">
    <vt:lpwstr/>
  </property>
  <property fmtid="{D5CDD505-2E9C-101B-9397-08002B2CF9AE}" pid="4" name="subtitle">
    <vt:lpwstr>Nigeria General Household Survey Panel — Wave 4 (2018-2019)</vt:lpwstr>
  </property>
</Properties>
</file>