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34.png" ContentType="image/png"/>
  <Override PartName="/word/media/rId37.png" ContentType="image/png"/>
  <Override PartName="/word/media/rId42.png" ContentType="image/png"/>
  <Override PartName="/word/media/rId49.png" ContentType="image/png"/>
  <Override PartName="/word/media/rId53.png" ContentType="image/png"/>
  <Override PartName="/word/media/rId57.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re"/>
      </w:pPr>
      <w:r>
        <w:t xml:space="preserve">Analyse 1 - Profil démographique des ménages nigérians</w:t>
      </w:r>
    </w:p>
    <w:p>
      <w:pPr>
        <w:pStyle w:val="Author"/>
      </w:pPr>
      <w:r>
        <w:t xml:space="preserve">Ahmed Firhoun OUMAROU SOULEYE &amp; Gérald Guerngué ADDJITA</w:t>
      </w:r>
    </w:p>
    <w:p>
      <w:pPr>
        <w:pStyle w:val="Date"/>
      </w:pPr>
      <w:r>
        <w:t xml:space="preserve">2026-03-12</w:t>
      </w:r>
    </w:p>
    <w:p>
      <w:pPr>
        <w:pStyle w:val="SourceCode"/>
      </w:pPr>
      <w:r>
        <w:rPr>
          <w:rStyle w:val="VerbatimChar"/>
        </w:rPr>
        <w:t xml:space="preserve">## Tous les packages sont déjà installés</w:t>
      </w:r>
    </w:p>
    <w:p>
      <w:pPr>
        <w:pStyle w:val="SourceCode"/>
      </w:pPr>
      <w:r>
        <w:rPr>
          <w:rStyle w:val="FunctionTok"/>
        </w:rPr>
        <w:t xml:space="preserve">library</w:t>
      </w:r>
      <w:r>
        <w:rPr>
          <w:rStyle w:val="NormalTok"/>
        </w:rPr>
        <w:t xml:space="preserve">(haven)</w:t>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(visdat)</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(PropCIs)</w:t>
      </w:r>
      <w:r>
        <w:br/>
      </w:r>
      <w:r>
        <w:rPr>
          <w:rStyle w:val="FunctionTok"/>
        </w:rPr>
        <w:t xml:space="preserve">library</w:t>
      </w:r>
      <w:r>
        <w:rPr>
          <w:rStyle w:val="NormalTok"/>
        </w:rPr>
        <w:t xml:space="preserve">(forcats)</w:t>
      </w:r>
      <w:r>
        <w:br/>
      </w:r>
      <w:r>
        <w:rPr>
          <w:rStyle w:val="FunctionTok"/>
        </w:rPr>
        <w:t xml:space="preserve">library</w:t>
      </w:r>
      <w:r>
        <w:rPr>
          <w:rStyle w:val="NormalTok"/>
        </w:rPr>
        <w:t xml:space="preserve">(rcompanion)</w:t>
      </w:r>
      <w:r>
        <w:br/>
      </w:r>
      <w:r>
        <w:rPr>
          <w:rStyle w:val="CommentTok"/>
        </w:rPr>
        <w:t xml:space="preserve">#Pour le plan de sondage </w:t>
      </w:r>
      <w:r>
        <w:br/>
      </w:r>
      <w:r>
        <w:rPr>
          <w:rStyle w:val="FunctionTok"/>
        </w:rPr>
        <w:t xml:space="preserve">library</w:t>
      </w:r>
      <w:r>
        <w:rPr>
          <w:rStyle w:val="NormalTok"/>
        </w:rPr>
        <w:t xml:space="preserve">(survey)</w:t>
      </w:r>
      <w:r>
        <w:br/>
      </w:r>
      <w:r>
        <w:rPr>
          <w:rStyle w:val="CommentTok"/>
        </w:rPr>
        <w:t xml:space="preserve">#Pour les tableaux</w:t>
      </w:r>
      <w:r>
        <w:br/>
      </w:r>
      <w:r>
        <w:rPr>
          <w:rStyle w:val="FunctionTok"/>
        </w:rPr>
        <w:t xml:space="preserve">library</w:t>
      </w:r>
      <w:r>
        <w:rPr>
          <w:rStyle w:val="NormalTok"/>
        </w:rPr>
        <w:t xml:space="preserve">(gt)</w:t>
      </w:r>
      <w:r>
        <w:br/>
      </w:r>
      <w:r>
        <w:rPr>
          <w:rStyle w:val="FunctionTok"/>
        </w:rPr>
        <w:t xml:space="preserve">library</w:t>
      </w:r>
      <w:r>
        <w:rPr>
          <w:rStyle w:val="NormalTok"/>
        </w:rPr>
        <w:t xml:space="preserve">(gtsummary)</w:t>
      </w:r>
      <w:r>
        <w:br/>
      </w:r>
      <w:r>
        <w:rPr>
          <w:rStyle w:val="CommentTok"/>
        </w:rPr>
        <w:t xml:space="preserve">#Pour les quartiles pondérés</w:t>
      </w:r>
      <w:r>
        <w:br/>
      </w:r>
      <w:r>
        <w:rPr>
          <w:rStyle w:val="FunctionTok"/>
        </w:rPr>
        <w:t xml:space="preserve">library</w:t>
      </w:r>
      <w:r>
        <w:rPr>
          <w:rStyle w:val="NormalTok"/>
        </w:rPr>
        <w:t xml:space="preserve">(Hmisc)</w:t>
      </w:r>
    </w:p>
    <w:bookmarkStart w:id="26" w:name="préliminaires"/>
    <w:p>
      <w:pPr>
        <w:pStyle w:val="Titre1"/>
      </w:pPr>
      <w:r>
        <w:t xml:space="preserve">0. Préliminaires</w:t>
      </w:r>
    </w:p>
    <w:bookmarkStart w:id="20" w:name="Xf739b8cb4168a43a9333af8ea27a8ae22d85e9d"/>
    <w:p>
      <w:pPr>
        <w:pStyle w:val="Titre2"/>
      </w:pPr>
      <w:r>
        <w:t xml:space="preserve">0.1. Concernant le traitement des non-réponses et repondération</w:t>
      </w:r>
    </w:p>
    <w:bookmarkEnd w:id="20"/>
    <w:bookmarkStart w:id="22" w:name="non-réponses"/>
    <w:p>
      <w:pPr>
        <w:pStyle w:val="Titre2"/>
      </w:pPr>
      <w:r>
        <w:t xml:space="preserve">0.1.1.Non-réponses</w:t>
      </w:r>
    </w:p>
    <w:p>
      <w:pPr>
        <w:pStyle w:val="FirstParagraph"/>
      </w:pPr>
      <w:r>
        <w:t xml:space="preserve">Lors de l’exploration des données, nous avons constaté que certains membres des ménages présentent des valeurs manquantes sur l’ensemble des variables d’intérêt</w:t>
      </w:r>
      <w:r>
        <w:t xml:space="preserve"> </w:t>
      </w:r>
      <w:r>
        <w:t xml:space="preserve">(</w:t>
      </w:r>
      <w:r>
        <w:rPr>
          <w:rStyle w:val="VerbatimChar"/>
        </w:rPr>
        <w:t xml:space="preserve">s1q2</w:t>
      </w:r>
      <w:r>
        <w:t xml:space="preserve">,</w:t>
      </w:r>
      <w:r>
        <w:t xml:space="preserve"> </w:t>
      </w:r>
      <w:r>
        <w:rPr>
          <w:rStyle w:val="VerbatimChar"/>
        </w:rPr>
        <w:t xml:space="preserve">s1q3</w:t>
      </w:r>
      <w:r>
        <w:t xml:space="preserve">,</w:t>
      </w:r>
      <w:r>
        <w:t xml:space="preserve"> </w:t>
      </w:r>
      <w:r>
        <w:rPr>
          <w:rStyle w:val="VerbatimChar"/>
        </w:rPr>
        <w:t xml:space="preserve">s1q4</w:t>
      </w:r>
      <w:r>
        <w:t xml:space="preserve"> </w:t>
      </w:r>
      <w:r>
        <w:t xml:space="preserve">pour la base période de soudure (harvest)), nous les considérons donc comme des non-réponses totales. Ces individus représentent environ 13% de l’échantillon initial.</w:t>
      </w:r>
    </w:p>
    <w:p>
      <w:pPr>
        <w:pStyle w:val="Corpsdetexte"/>
      </w:pPr>
      <w:r>
        <w:t xml:space="preserve">Afin de maintenir la représentativité de l’échantillon, nous avons procédé à une re-pondération, selon la méthodologie</w:t>
      </w:r>
      <w:r>
        <w:t xml:space="preserve"> </w:t>
      </w:r>
      <w:r>
        <w:t xml:space="preserve">décrite dans selon la méthodologie décrite dans</w:t>
      </w:r>
      <w:r>
        <w:t xml:space="preserve"> </w:t>
      </w:r>
      <w:hyperlink r:id="rId21">
        <w:r>
          <w:rPr>
            <w:rStyle w:val="Lienhypertexte"/>
          </w:rPr>
          <w:t xml:space="preserve">Nations Unies (2010, Série F N°98, section 6.5.3, page 132)</w:t>
        </w:r>
      </w:hyperlink>
      <w:r>
        <w:t xml:space="preserve">. Nous suivrons ainsi la démarche qui suit:</w:t>
      </w:r>
    </w:p>
    <w:p>
      <w:pPr>
        <w:pStyle w:val="Corpsdetexte"/>
      </w:pPr>
      <w:r>
        <w:rPr>
          <w:b/>
          <w:bCs/>
        </w:rPr>
        <w:t xml:space="preserve">Étape 1.</w:t>
      </w:r>
      <w:r>
        <w:t xml:space="preserve"> </w:t>
      </w:r>
      <w:r>
        <w:t xml:space="preserve">Identification des non-répondants, définis comme les individus pour lesquels toutes les variables d’intérêt sont manquantes.</w:t>
      </w:r>
    </w:p>
    <w:p>
      <w:pPr>
        <w:pStyle w:val="Corpsdetexte"/>
      </w:pPr>
      <w:r>
        <w:rPr>
          <w:b/>
          <w:bCs/>
        </w:rPr>
        <w:t xml:space="preserve">Étape 2.</w:t>
      </w:r>
      <w:r>
        <w:t xml:space="preserve"> </w:t>
      </w:r>
      <w:r>
        <w:t xml:space="preserve">Décomposition de l’échantillon en sous-groupes (correspondant ici aux strates de sondage) et calcul des taux pondérés de non réponses</w:t>
      </w:r>
      <w:r>
        <w:t xml:space="preserve"> </w:t>
      </w:r>
      <m:oMath>
        <m:f>
          <m:fPr>
            <m:type m:val="bar"/>
          </m:fPr>
          <m:num>
            <m:sSub>
              <m:e>
                <m:r>
                  <m:t>r</m:t>
                </m:r>
              </m:e>
              <m:sub>
                <m:r>
                  <m:t>h</m:t>
                </m:r>
              </m:sub>
            </m:sSub>
          </m:num>
          <m:den>
            <m:sSub>
              <m:e>
                <m:r>
                  <m:t>n</m:t>
                </m:r>
              </m:e>
              <m:sub>
                <m:r>
                  <m:t>h</m:t>
                </m:r>
              </m:sub>
            </m:sSub>
          </m:den>
        </m:f>
      </m:oMath>
      <w:r>
        <w:t xml:space="preserve"> </w:t>
      </w:r>
      <w:r>
        <w:t xml:space="preserve">où</w:t>
      </w:r>
      <w:r>
        <w:t xml:space="preserve"> </w:t>
      </w:r>
      <m:oMath>
        <m:sSub>
          <m:e>
            <m:r>
              <m:t>n</m:t>
            </m:r>
          </m:e>
          <m:sub>
            <m:r>
              <m:t>h</m:t>
            </m:r>
          </m:sub>
        </m:sSub>
      </m:oMath>
      <w:r>
        <w:t xml:space="preserve"> </w:t>
      </w:r>
      <w:r>
        <w:t xml:space="preserve">désigne le nombre total d’individus sélectionnés dans la strate</w:t>
      </w:r>
      <w:r>
        <w:t xml:space="preserve"> </w:t>
      </w:r>
      <m:oMath>
        <m:r>
          <m:t>h</m:t>
        </m:r>
      </m:oMath>
      <w:r>
        <w:t xml:space="preserve"> </w:t>
      </w:r>
      <w:r>
        <w:t xml:space="preserve">et</w:t>
      </w:r>
      <w:r>
        <w:t xml:space="preserve"> </w:t>
      </w:r>
      <m:oMath>
        <m:sSub>
          <m:e>
            <m:r>
              <m:t>r</m:t>
            </m:r>
          </m:e>
          <m:sub>
            <m:r>
              <m:t>h</m:t>
            </m:r>
          </m:sub>
        </m:sSub>
      </m:oMath>
      <w:r>
        <w:t xml:space="preserve"> </w:t>
      </w:r>
      <w:r>
        <w:t xml:space="preserve">le nombre d’individus répondants.</w:t>
      </w:r>
    </w:p>
    <w:p>
      <w:pPr>
        <w:pStyle w:val="Corpsdetexte"/>
      </w:pPr>
      <w:r>
        <w:rPr>
          <w:b/>
          <w:bCs/>
        </w:rPr>
        <w:t xml:space="preserve">Étape 3.</w:t>
      </w:r>
      <w:r>
        <w:t xml:space="preserve"> </w:t>
      </w:r>
      <w:r>
        <w:t xml:space="preserve">Pour chaque strate</w:t>
      </w:r>
      <w:r>
        <w:t xml:space="preserve"> </w:t>
      </w:r>
      <m:oMath>
        <m:r>
          <m:t>h</m:t>
        </m:r>
      </m:oMath>
      <w:r>
        <w:t xml:space="preserve">, calcul du facteur de correction</w:t>
      </w:r>
      <w:r>
        <w:t xml:space="preserve"> </w:t>
      </w:r>
      <m:oMath>
        <m:sSub>
          <m:e>
            <m:r>
              <m:t>w</m:t>
            </m:r>
          </m:e>
          <m:sub>
            <m:r>
              <m:t>2</m:t>
            </m:r>
            <m:r>
              <m:t>h</m:t>
            </m:r>
          </m:sub>
        </m:sSub>
      </m:oMath>
      <w:r>
        <w:t xml:space="preserve"> </w:t>
      </w:r>
      <w:r>
        <w:t xml:space="preserve">défini comme l’inverse du taux de réponse :</w:t>
      </w:r>
    </w:p>
    <w:p>
      <w:pPr>
        <w:pStyle w:val="Corpsdetexte"/>
      </w:pPr>
      <m:oMathPara>
        <m:oMathParaPr>
          <m:jc m:val="center"/>
        </m:oMathParaPr>
        <m:oMath>
          <m:sSub>
            <m:e>
              <m:r>
                <m:t>w</m:t>
              </m:r>
            </m:e>
            <m:sub>
              <m:r>
                <m:t>2</m:t>
              </m:r>
              <m:r>
                <m:t>h</m:t>
              </m:r>
            </m:sub>
          </m:sSub>
          <m:r>
            <m:rPr>
              <m:sty m:val="p"/>
            </m:rPr>
            <m:t>=</m:t>
          </m:r>
          <m:f>
            <m:fPr>
              <m:type m:val="bar"/>
            </m:fPr>
            <m:num>
              <m:sSub>
                <m:e>
                  <m:r>
                    <m:t>n</m:t>
                  </m:r>
                </m:e>
                <m:sub>
                  <m:r>
                    <m:t>h</m:t>
                  </m:r>
                </m:sub>
              </m:sSub>
            </m:num>
            <m:den>
              <m:sSub>
                <m:e>
                  <m:r>
                    <m:t>r</m:t>
                  </m:r>
                </m:e>
                <m:sub>
                  <m:r>
                    <m:t>h</m:t>
                  </m:r>
                </m:sub>
              </m:sSub>
            </m:den>
          </m:f>
        </m:oMath>
      </m:oMathPara>
    </w:p>
    <w:p>
      <w:pPr>
        <w:pStyle w:val="FirstParagraph"/>
      </w:pPr>
      <w:r>
        <w:rPr>
          <w:b/>
          <w:bCs/>
        </w:rPr>
        <w:t xml:space="preserve">Étape 4.</w:t>
      </w:r>
      <w:r>
        <w:t xml:space="preserve"> </w:t>
      </w:r>
      <w:r>
        <w:t xml:space="preserve">Calcul de la pondération ajustée</w:t>
      </w:r>
      <w:r>
        <w:t xml:space="preserve"> </w:t>
      </w:r>
      <m:oMath>
        <m:sSubSup>
          <m:e>
            <m:r>
              <m:t>w</m:t>
            </m:r>
          </m:e>
          <m:sub>
            <m:r>
              <m:t>h</m:t>
            </m:r>
          </m:sub>
          <m:sup>
            <m:r>
              <m:rPr>
                <m:sty m:val="p"/>
              </m:rPr>
              <m:t>*</m:t>
            </m:r>
          </m:sup>
        </m:sSubSup>
      </m:oMath>
      <w:r>
        <w:t xml:space="preserve"> </w:t>
      </w:r>
      <w:r>
        <w:t xml:space="preserve">pour chaque répondant</w:t>
      </w:r>
      <w:r>
        <w:t xml:space="preserve"> </w:t>
      </w:r>
      <m:oMath>
        <m:r>
          <m:t>i</m:t>
        </m:r>
      </m:oMath>
      <w:r>
        <w:t xml:space="preserve"> </w:t>
      </w:r>
      <w:r>
        <w:t xml:space="preserve">de la strate</w:t>
      </w:r>
      <w:r>
        <w:t xml:space="preserve"> </w:t>
      </w:r>
      <m:oMath>
        <m:r>
          <m:t>h</m:t>
        </m:r>
      </m:oMath>
      <w:r>
        <w:t xml:space="preserve"> </w:t>
      </w:r>
      <w:r>
        <w:t xml:space="preserve">:</w:t>
      </w:r>
    </w:p>
    <w:p>
      <w:pPr>
        <w:pStyle w:val="Corpsdetexte"/>
      </w:pPr>
      <m:oMathPara>
        <m:oMathParaPr>
          <m:jc m:val="center"/>
        </m:oMathParaPr>
        <m:oMath>
          <m:sSubSup>
            <m:e>
              <m:r>
                <m:t>w</m:t>
              </m:r>
            </m:e>
            <m:sub>
              <m:r>
                <m:t>i</m:t>
              </m:r>
            </m:sub>
            <m:sup>
              <m:r>
                <m:rPr>
                  <m:sty m:val="p"/>
                </m:rPr>
                <m:t>*</m:t>
              </m:r>
            </m:sup>
          </m:sSubSup>
          <m:r>
            <m:rPr>
              <m:sty m:val="p"/>
            </m:rPr>
            <m:t>=</m:t>
          </m:r>
          <m:sSub>
            <m:e>
              <m:r>
                <m:t>w</m:t>
              </m:r>
            </m:e>
            <m:sub>
              <m:r>
                <m:t>1</m:t>
              </m:r>
              <m:r>
                <m:t>i</m:t>
              </m:r>
            </m:sub>
          </m:sSub>
          <m:r>
            <m:rPr>
              <m:sty m:val="p"/>
            </m:rPr>
            <m:t>×</m:t>
          </m:r>
          <m:sSub>
            <m:e>
              <m:r>
                <m:t>w</m:t>
              </m:r>
            </m:e>
            <m:sub>
              <m:r>
                <m:t>2</m:t>
              </m:r>
              <m:r>
                <m:t>h</m:t>
              </m:r>
            </m:sub>
          </m:sSub>
        </m:oMath>
      </m:oMathPara>
    </w:p>
    <w:p>
      <w:pPr>
        <w:pStyle w:val="FirstParagraph"/>
      </w:pPr>
      <w:r>
        <w:t xml:space="preserve">où</w:t>
      </w:r>
      <w:r>
        <w:t xml:space="preserve"> </w:t>
      </w:r>
      <m:oMath>
        <m:sSub>
          <m:e>
            <m:r>
              <m:t>w</m:t>
            </m:r>
          </m:e>
          <m:sub>
            <m:r>
              <m:t>1</m:t>
            </m:r>
            <m:r>
              <m:t>i</m:t>
            </m:r>
          </m:sub>
        </m:sSub>
      </m:oMath>
      <w:r>
        <w:t xml:space="preserve"> </w:t>
      </w:r>
      <w:r>
        <w:t xml:space="preserve">est la pondération initiale de l’individu</w:t>
      </w:r>
      <w:r>
        <w:t xml:space="preserve"> </w:t>
      </w:r>
      <m:oMath>
        <m:r>
          <m:t>i</m:t>
        </m:r>
      </m:oMath>
      <w:r>
        <w:t xml:space="preserve">.</w:t>
      </w:r>
    </w:p>
    <w:p>
      <w:pPr>
        <w:pStyle w:val="Corpsdetexte"/>
      </w:pPr>
      <w:r>
        <w:rPr>
          <w:b/>
          <w:bCs/>
        </w:rPr>
        <w:t xml:space="preserve">Étape 5.</w:t>
      </w:r>
      <w:r>
        <w:t xml:space="preserve"> </w:t>
      </w:r>
      <w:r>
        <w:t xml:space="preserve">Suppression des non-répondants de l’échantillon.</w:t>
      </w:r>
    </w:p>
    <w:p>
      <w:pPr>
        <w:pStyle w:val="Corpsdetexte"/>
      </w:pPr>
      <w:r>
        <w:t xml:space="preserve">Cette approche garantit que la somme totale des pondérations est conservée après suppression des non-répondants, maintenant ainsi la représentativité de l’échantillon.</w:t>
      </w:r>
      <w:r>
        <w:t xml:space="preserve"> </w:t>
      </w:r>
      <w:r>
        <w:t xml:space="preserve">### 0.1.2.Pondérations manquantes</w:t>
      </w:r>
      <w:r>
        <w:t xml:space="preserve"> </w:t>
      </w:r>
      <w:r>
        <w:t xml:space="preserve">24 membres de ménages n’avaient pas de pondération, nous les avons supprimé de l’échantillon.</w:t>
      </w:r>
    </w:p>
    <w:bookmarkEnd w:id="22"/>
    <w:bookmarkStart w:id="23" w:name="chargement-des-données"/>
    <w:p>
      <w:pPr>
        <w:pStyle w:val="Titre2"/>
      </w:pPr>
      <w:r>
        <w:t xml:space="preserve">0.2.Chargement des données</w:t>
      </w:r>
    </w:p>
    <w:p>
      <w:pPr>
        <w:pStyle w:val="FirstParagraph"/>
      </w:pPr>
      <w:r>
        <w:t xml:space="preserve">La base processed_w4 est la fusions des bases sect1_harvestwX.dta, secta_harvestw4.dta et sect1_plantingw4.dta suivant la clé</w:t>
      </w:r>
      <w:r>
        <w:t xml:space="preserve"> </w:t>
      </w:r>
      <w:r>
        <w:rPr>
          <w:rStyle w:val="VerbatimChar"/>
        </w:rPr>
        <w:t xml:space="preserve">hhid+indiv</w:t>
      </w:r>
      <w:r>
        <w:t xml:space="preserve">.</w:t>
      </w:r>
    </w:p>
    <w:p>
      <w:pPr>
        <w:pStyle w:val="Corpsdetexte"/>
      </w:pPr>
      <w:r>
        <w:t xml:space="preserve">Toutes les bases sont chargées et les variables qualitatives sont converties en facteurs.</w:t>
      </w:r>
    </w:p>
    <w:bookmarkEnd w:id="23"/>
    <w:bookmarkStart w:id="25" w:name="X98cca256c79a87db7e506d8ea51b403d0fe38b2"/>
    <w:p>
      <w:pPr>
        <w:pStyle w:val="Titre2"/>
      </w:pPr>
      <w:r>
        <w:t xml:space="preserve">0.3. Plan de sondage et méthode d’échantillonnage</w:t>
      </w:r>
    </w:p>
    <w:p>
      <w:pPr>
        <w:pStyle w:val="FirstParagraph"/>
      </w:pPr>
      <w:r>
        <w:t xml:space="preserve">L’enquête GHS-Panel repose sur un sondage aléatoire à deux degrés</w:t>
      </w:r>
      <w:r>
        <w:t xml:space="preserve"> </w:t>
      </w:r>
      <w:r>
        <w:t xml:space="preserve">(</w:t>
      </w:r>
      <w:hyperlink r:id="rId24">
        <w:r>
          <w:rPr>
            <w:rStyle w:val="Lienhypertexte"/>
          </w:rPr>
          <w:t xml:space="preserve">NBS, 2012</w:t>
        </w:r>
      </w:hyperlink>
      <w:r>
        <w:t xml:space="preserve">),</w:t>
      </w:r>
      <w:r>
        <w:t xml:space="preserve"> </w:t>
      </w:r>
      <w:r>
        <w:t xml:space="preserve">conçu pour être représentatif au niveau national et zonal (urbain/rural).</w:t>
      </w:r>
    </w:p>
    <w:p>
      <w:pPr>
        <w:pStyle w:val="Corpsdetexte"/>
      </w:pPr>
      <w:r>
        <w:rPr>
          <w:b/>
          <w:bCs/>
        </w:rPr>
        <w:t xml:space="preserve">Premier degré - Sélection des Zones de Dénombrement (ZD)</w:t>
      </w:r>
      <w:r>
        <w:br/>
      </w:r>
      <w:r>
        <w:t xml:space="preserve">Les unités primaires de sondage (PSU) sont les Zones de Dénombrement (ZD),</w:t>
      </w:r>
      <w:r>
        <w:t xml:space="preserve"> </w:t>
      </w:r>
      <w:r>
        <w:t xml:space="preserve">appelées</w:t>
      </w:r>
      <w:r>
        <w:t xml:space="preserve"> </w:t>
      </w:r>
      <w:r>
        <w:rPr>
          <w:i/>
          <w:iCs/>
        </w:rPr>
        <w:t xml:space="preserve">Enumeration Areas</w:t>
      </w:r>
      <w:r>
        <w:t xml:space="preserve"> </w:t>
      </w:r>
      <w:r>
        <w:t xml:space="preserve">(EAs) en anglais. Un total de 500 ZD ont été</w:t>
      </w:r>
      <w:r>
        <w:t xml:space="preserve"> </w:t>
      </w:r>
      <w:r>
        <w:t xml:space="preserve">sélectionnées par la méthode de</w:t>
      </w:r>
      <w:r>
        <w:t xml:space="preserve"> </w:t>
      </w:r>
      <w:r>
        <w:rPr>
          <w:b/>
          <w:bCs/>
        </w:rPr>
        <w:t xml:space="preserve">probabilité proportionnelle à la taille</w:t>
      </w:r>
      <w:r>
        <w:t xml:space="preserve"> </w:t>
      </w:r>
      <w:r>
        <w:t xml:space="preserve">(PPT), en tenant compte du nombre total de ménages recensés dans chaque ZD,</w:t>
      </w:r>
      <w:r>
        <w:t xml:space="preserve"> </w:t>
      </w:r>
      <w:r>
        <w:t xml:space="preserve">par État et par le Territoire de la Capitale Fédérale (FCT) d’Abuja.</w:t>
      </w:r>
    </w:p>
    <w:p>
      <w:pPr>
        <w:pStyle w:val="Corpsdetexte"/>
      </w:pPr>
      <w:r>
        <w:rPr>
          <w:b/>
          <w:bCs/>
        </w:rPr>
        <w:t xml:space="preserve">Deuxième degré - Sélection des ménages</w:t>
      </w:r>
      <w:r>
        <w:br/>
      </w:r>
      <w:r>
        <w:t xml:space="preserve">Au sein de chaque ZD sélectionnée,</w:t>
      </w:r>
      <w:r>
        <w:t xml:space="preserve"> </w:t>
      </w:r>
      <w:r>
        <w:rPr>
          <w:b/>
          <w:bCs/>
        </w:rPr>
        <w:t xml:space="preserve">10 ménages</w:t>
      </w:r>
      <w:r>
        <w:t xml:space="preserve"> </w:t>
      </w:r>
      <w:r>
        <w:t xml:space="preserve">ont été tirés par</w:t>
      </w:r>
      <w:r>
        <w:t xml:space="preserve"> </w:t>
      </w:r>
      <w:r>
        <w:rPr>
          <w:b/>
          <w:bCs/>
        </w:rPr>
        <w:t xml:space="preserve">sélection systématique</w:t>
      </w:r>
      <w:r>
        <w:t xml:space="preserve">. L’intervalle de sondage</w:t>
      </w:r>
      <w:r>
        <w:t xml:space="preserve"> </w:t>
      </w:r>
      <m:oMath>
        <m:r>
          <m:t>S</m:t>
        </m:r>
        <m:r>
          <m:t>I</m:t>
        </m:r>
      </m:oMath>
      <w:r>
        <w:t xml:space="preserve"> </w:t>
      </w:r>
      <w:r>
        <w:t xml:space="preserve">est calculé comme :</w:t>
      </w:r>
    </w:p>
    <w:p>
      <w:pPr>
        <w:pStyle w:val="Corpsdetexte"/>
      </w:pPr>
      <m:oMathPara>
        <m:oMathParaPr>
          <m:jc m:val="center"/>
        </m:oMathParaPr>
        <m:oMath>
          <m:r>
            <m:t>S</m:t>
          </m:r>
          <m:r>
            <m:t>I</m:t>
          </m:r>
          <m:r>
            <m:rPr>
              <m:sty m:val="p"/>
            </m:rPr>
            <m:t>=</m:t>
          </m:r>
          <m:f>
            <m:fPr>
              <m:type m:val="bar"/>
            </m:fPr>
            <m:num>
              <m:sSub>
                <m:e>
                  <m:r>
                    <m:t>N</m:t>
                  </m:r>
                </m:e>
                <m:sub>
                  <m:r>
                    <m:t>Z</m:t>
                  </m:r>
                  <m:r>
                    <m:t>D</m:t>
                  </m:r>
                </m:sub>
              </m:sSub>
            </m:num>
            <m:den>
              <m:r>
                <m:t>10</m:t>
              </m:r>
            </m:den>
          </m:f>
        </m:oMath>
      </m:oMathPara>
    </w:p>
    <w:p>
      <w:pPr>
        <w:pStyle w:val="FirstParagraph"/>
      </w:pPr>
      <w:r>
        <w:t xml:space="preserve">où</w:t>
      </w:r>
      <w:r>
        <w:t xml:space="preserve"> </w:t>
      </w:r>
      <m:oMath>
        <m:sSub>
          <m:e>
            <m:r>
              <m:t>N</m:t>
            </m:r>
          </m:e>
          <m:sub>
            <m:r>
              <m:t>Z</m:t>
            </m:r>
            <m:r>
              <m:t>D</m:t>
            </m:r>
          </m:sub>
        </m:sSub>
      </m:oMath>
      <w:r>
        <w:t xml:space="preserve"> </w:t>
      </w:r>
      <w:r>
        <w:t xml:space="preserve">est le nombre total de ménages recensés dans la ZD. Un point de</w:t>
      </w:r>
      <w:r>
        <w:t xml:space="preserve"> </w:t>
      </w:r>
      <w:r>
        <w:t xml:space="preserve">départ aléatoire</w:t>
      </w:r>
      <w:r>
        <w:t xml:space="preserve"> </w:t>
      </w:r>
      <m:oMath>
        <m:r>
          <m:t>r</m:t>
        </m:r>
      </m:oMath>
      <w:r>
        <w:t xml:space="preserve"> </w:t>
      </w:r>
      <w:r>
        <w:t xml:space="preserve">est tiré, puis les ménages suivants sont sélectionnés en</w:t>
      </w:r>
      <w:r>
        <w:t xml:space="preserve"> </w:t>
      </w:r>
      <w:r>
        <w:t xml:space="preserve">ajoutant successivement</w:t>
      </w:r>
      <w:r>
        <w:t xml:space="preserve"> </w:t>
      </w:r>
      <m:oMath>
        <m:r>
          <m:t>S</m:t>
        </m:r>
        <m:r>
          <m:t>I</m:t>
        </m:r>
      </m:oMath>
      <w:r>
        <w:t xml:space="preserve"> </w:t>
      </w:r>
      <w:r>
        <w:t xml:space="preserve">à</w:t>
      </w:r>
      <w:r>
        <w:t xml:space="preserve"> </w:t>
      </w:r>
      <m:oMath>
        <m:r>
          <m:t>r</m:t>
        </m:r>
      </m:oMath>
      <w:r>
        <w:t xml:space="preserve">. Au total,</w:t>
      </w:r>
      <w:r>
        <w:t xml:space="preserve"> </w:t>
      </w:r>
      <w:r>
        <w:rPr>
          <w:b/>
          <w:bCs/>
        </w:rPr>
        <w:t xml:space="preserve">5 000 ménages</w:t>
      </w:r>
      <w:r>
        <w:t xml:space="preserve"> </w:t>
      </w:r>
      <w:r>
        <w:t xml:space="preserve">répartis dans</w:t>
      </w:r>
      <w:r>
        <w:t xml:space="preserve"> </w:t>
      </w:r>
      <w:r>
        <w:t xml:space="preserve">les 500 ZD ont été enquêtés, sans remplacement.</w:t>
      </w:r>
    </w:p>
    <w:p>
      <w:pPr>
        <w:pStyle w:val="Corpsdetexte"/>
      </w:pPr>
      <w:r>
        <w:rPr>
          <w:b/>
          <w:bCs/>
        </w:rPr>
        <w:t xml:space="preserve">Implications pour l’analyse</w:t>
      </w:r>
      <w:r>
        <w:br/>
      </w:r>
      <w:r>
        <w:t xml:space="preserve">C’est pourquoi toutes nos analyses intègrent le plan de</w:t>
      </w:r>
      <w:r>
        <w:t xml:space="preserve"> </w:t>
      </w:r>
      <w:r>
        <w:t xml:space="preserve">sondage via la fonction</w:t>
      </w:r>
      <w:r>
        <w:t xml:space="preserve"> </w:t>
      </w:r>
      <w:r>
        <w:rPr>
          <w:rStyle w:val="VerbatimChar"/>
        </w:rPr>
        <w:t xml:space="preserve">svydesign()</w:t>
      </w:r>
      <w:r>
        <w:t xml:space="preserve"> </w:t>
      </w:r>
      <w:r>
        <w:t xml:space="preserve">du package</w:t>
      </w:r>
      <w:r>
        <w:t xml:space="preserve"> </w:t>
      </w:r>
      <w:r>
        <w:rPr>
          <w:rStyle w:val="VerbatimChar"/>
        </w:rPr>
        <w:t xml:space="preserve">survey</w:t>
      </w:r>
      <w:r>
        <w:t xml:space="preserve"> </w:t>
      </w:r>
      <w:r>
        <w:t xml:space="preserve">(</w:t>
      </w:r>
      <w:hyperlink w:anchor="Xa39a3ee5e6b4b0d3255bfef95601890afd80709">
        <w:r>
          <w:rPr>
            <w:rStyle w:val="Lienhypertexte"/>
          </w:rPr>
          <w:t xml:space="preserve">Lumley, 2010</w:t>
        </w:r>
      </w:hyperlink>
      <w:r>
        <w:t xml:space="preserve">),</w:t>
      </w:r>
      <w:r>
        <w:t xml:space="preserve"> </w:t>
      </w:r>
      <w:r>
        <w:t xml:space="preserve">en spécifiant :</w:t>
      </w:r>
    </w:p>
    <w:p>
      <w:pPr>
        <w:pStyle w:val="Compact"/>
        <w:numPr>
          <w:ilvl w:val="0"/>
          <w:numId w:val="1001"/>
        </w:numPr>
      </w:pPr>
      <w:r>
        <w:rPr>
          <w:rStyle w:val="VerbatimChar"/>
          <w:b/>
          <w:bCs/>
        </w:rPr>
        <w:t xml:space="preserve">ids = ~ea</w:t>
      </w:r>
      <w:r>
        <w:t xml:space="preserve"> </w:t>
      </w:r>
      <w:r>
        <w:t xml:space="preserve">: les ZD comme unités primaires de sondage</w:t>
      </w:r>
    </w:p>
    <w:p>
      <w:pPr>
        <w:pStyle w:val="Compact"/>
        <w:numPr>
          <w:ilvl w:val="0"/>
          <w:numId w:val="1001"/>
        </w:numPr>
      </w:pPr>
      <w:r>
        <w:rPr>
          <w:rStyle w:val="VerbatimChar"/>
          <w:b/>
          <w:bCs/>
        </w:rPr>
        <w:t xml:space="preserve">strata = ~strata</w:t>
      </w:r>
      <w:r>
        <w:t xml:space="preserve"> </w:t>
      </w:r>
      <w:r>
        <w:t xml:space="preserve">: les strates de sondage</w:t>
      </w:r>
    </w:p>
    <w:p>
      <w:pPr>
        <w:pStyle w:val="Compact"/>
        <w:numPr>
          <w:ilvl w:val="0"/>
          <w:numId w:val="1001"/>
        </w:numPr>
      </w:pPr>
      <w:r>
        <w:rPr>
          <w:rStyle w:val="VerbatimChar"/>
          <w:b/>
          <w:bCs/>
        </w:rPr>
        <w:t xml:space="preserve">weights = ~wt_wave4</w:t>
      </w:r>
      <w:r>
        <w:t xml:space="preserve"> </w:t>
      </w:r>
      <w:r>
        <w:t xml:space="preserve">: les poids de sondage calibrés</w:t>
      </w:r>
    </w:p>
    <w:p>
      <w:pPr>
        <w:pStyle w:val="Compact"/>
        <w:numPr>
          <w:ilvl w:val="0"/>
          <w:numId w:val="1001"/>
        </w:numPr>
      </w:pPr>
      <w:r>
        <w:rPr>
          <w:rStyle w:val="VerbatimChar"/>
          <w:b/>
          <w:bCs/>
        </w:rPr>
        <w:t xml:space="preserve">nest = TRUE</w:t>
      </w:r>
      <w:r>
        <w:t xml:space="preserve"> </w:t>
      </w:r>
      <w:r>
        <w:t xml:space="preserve">: les ZD étant numérotées au sein de chaque strate</w:t>
      </w:r>
    </w:p>
    <w:bookmarkEnd w:id="25"/>
    <w:bookmarkEnd w:id="26"/>
    <w:bookmarkStart w:id="33" w:name="X6090531b56bb9cad85b10dbdfb161dab268f8ac"/>
    <w:p>
      <w:pPr>
        <w:pStyle w:val="Titre1"/>
      </w:pPr>
      <w:r>
        <w:t xml:space="preserve">1. Charger sect1_harvestw4 avec haven. Explorer la structure: str(), glimpse(), summary(). Vérifier les doublons sur hhid + indiv_id et les valeurs manquantes (naniar::vis_miss).</w:t>
      </w:r>
    </w:p>
    <w:bookmarkStart w:id="27" w:name="Xe95c1a25167e50c93bd36dcffd89c9824541c06"/>
    <w:p>
      <w:pPr>
        <w:pStyle w:val="Titre2"/>
      </w:pPr>
      <w:r>
        <w:t xml:space="preserve">1.a. Charger les données et explorer la structure</w:t>
      </w:r>
    </w:p>
    <w:p>
      <w:pPr>
        <w:pStyle w:val="FirstParagraph"/>
      </w:pPr>
      <w:r>
        <w:t xml:space="preserve">Nous sélectionnerons uniquement les variables de</w:t>
      </w:r>
      <w:r>
        <w:t xml:space="preserve"> </w:t>
      </w:r>
      <w:r>
        <w:rPr>
          <w:rStyle w:val="VerbatimChar"/>
        </w:rPr>
        <w:t xml:space="preserve">sect1_harvestw4</w:t>
      </w:r>
      <w:r>
        <w:t xml:space="preserve"> </w:t>
      </w:r>
      <w:r>
        <w:t xml:space="preserve">dans la base</w:t>
      </w:r>
      <w:r>
        <w:t xml:space="preserve"> </w:t>
      </w:r>
      <w:r>
        <w:rPr>
          <w:rStyle w:val="VerbatimChar"/>
        </w:rPr>
        <w:t xml:space="preserve">processed</w:t>
      </w:r>
      <w:r>
        <w:t xml:space="preserve">.</w:t>
      </w:r>
    </w:p>
    <w:p>
      <w:pPr>
        <w:pStyle w:val="SourceCode"/>
      </w:pPr>
      <w:r>
        <w:rPr>
          <w:rStyle w:val="NormalTok"/>
        </w:rPr>
        <w:t xml:space="preserve">sect1_harvestw4 </w:t>
      </w:r>
      <w:r>
        <w:rPr>
          <w:rStyle w:val="OtherTok"/>
        </w:rPr>
        <w:t xml:space="preserve">&lt;-</w:t>
      </w:r>
      <w:r>
        <w:rPr>
          <w:rStyle w:val="NormalTok"/>
        </w:rPr>
        <w:t xml:space="preserve"> processed_w4 </w:t>
      </w:r>
      <w:r>
        <w:rPr>
          <w:rStyle w:val="SpecialCharTok"/>
        </w:rPr>
        <w:t xml:space="preserve">%&gt;%</w:t>
      </w:r>
      <w:r>
        <w:br/>
      </w:r>
      <w:r>
        <w:rPr>
          <w:rStyle w:val="NormalTok"/>
        </w:rPr>
        <w:t xml:space="preserve">    </w:t>
      </w:r>
      <w:r>
        <w:rPr>
          <w:rStyle w:val="FunctionTok"/>
        </w:rPr>
        <w:t xml:space="preserve">select</w:t>
      </w:r>
      <w:r>
        <w:rPr>
          <w:rStyle w:val="NormalTok"/>
        </w:rPr>
        <w:t xml:space="preserve">(hhid, indiv,strata, ea,</w:t>
      </w:r>
      <w:r>
        <w:rPr>
          <w:rStyle w:val="FunctionTok"/>
        </w:rPr>
        <w:t xml:space="preserve">starts_with</w:t>
      </w:r>
      <w:r>
        <w:rPr>
          <w:rStyle w:val="NormalTok"/>
        </w:rPr>
        <w:t xml:space="preserve">(</w:t>
      </w:r>
      <w:r>
        <w:rPr>
          <w:rStyle w:val="StringTok"/>
        </w:rPr>
        <w:t xml:space="preserve">"harvest_"</w:t>
      </w:r>
      <w:r>
        <w:rPr>
          <w:rStyle w:val="NormalTok"/>
        </w:rPr>
        <w:t xml:space="preserve">),wt_wave4)</w:t>
      </w:r>
    </w:p>
    <w:p>
      <w:pPr>
        <w:pStyle w:val="FirstParagraph"/>
      </w:pPr>
      <w:r>
        <w:t xml:space="preserve">Les variables semblent être dans le bon format :</w:t>
      </w:r>
    </w:p>
    <w:p>
      <w:pPr>
        <w:pStyle w:val="SourceCode"/>
      </w:pPr>
      <w:r>
        <w:rPr>
          <w:rStyle w:val="VerbatimChar"/>
        </w:rPr>
        <w:t xml:space="preserve">## tibble [25.676 × 8] (S3: tbl_df/tbl/data.frame)</w:t>
      </w:r>
      <w:r>
        <w:br/>
      </w:r>
      <w:r>
        <w:rPr>
          <w:rStyle w:val="VerbatimChar"/>
        </w:rPr>
        <w:t xml:space="preserve">##  $ hhid        : num [1:25676] 10001 10001 10001 10001 10001 ...</w:t>
      </w:r>
      <w:r>
        <w:br/>
      </w:r>
      <w:r>
        <w:rPr>
          <w:rStyle w:val="VerbatimChar"/>
        </w:rPr>
        <w:t xml:space="preserve">##   ..- attr(*, "format.stata")= chr "%10.0g"</w:t>
      </w:r>
      <w:r>
        <w:br/>
      </w:r>
      <w:r>
        <w:rPr>
          <w:rStyle w:val="VerbatimChar"/>
        </w:rPr>
        <w:t xml:space="preserve">##  $ indiv       : num [1:25676] 1 2 3 4 8 9 1 2 3 8 ...</w:t>
      </w:r>
      <w:r>
        <w:br/>
      </w:r>
      <w:r>
        <w:rPr>
          <w:rStyle w:val="VerbatimChar"/>
        </w:rPr>
        <w:t xml:space="preserve">##   ..- attr(*, "format.stata")= chr "%10.0g"</w:t>
      </w:r>
      <w:r>
        <w:br/>
      </w:r>
      <w:r>
        <w:rPr>
          <w:rStyle w:val="VerbatimChar"/>
        </w:rPr>
        <w:t xml:space="preserve">##  $ strata      : Factor w/ 6 levels "1. North Central",..: 4 4 4 4 4 4 4 4 4 4 ...</w:t>
      </w:r>
      <w:r>
        <w:br/>
      </w:r>
      <w:r>
        <w:rPr>
          <w:rStyle w:val="VerbatimChar"/>
        </w:rPr>
        <w:t xml:space="preserve">##  $ ea          : Factor w/ 402 levels "0","6","10","12",..: 177 177 177 177 177 177 177 177 177 177 ...</w:t>
      </w:r>
      <w:r>
        <w:br/>
      </w:r>
      <w:r>
        <w:rPr>
          <w:rStyle w:val="VerbatimChar"/>
        </w:rPr>
        <w:t xml:space="preserve">##  $ harvest_s1q2: Factor w/ 2 levels "Homme","Femme": 1 2 2 2 1 1 1 2 1 2 ...</w:t>
      </w:r>
      <w:r>
        <w:br/>
      </w:r>
      <w:r>
        <w:rPr>
          <w:rStyle w:val="VerbatimChar"/>
        </w:rPr>
        <w:t xml:space="preserve">##  $ harvest_s1q3: Factor w/ 14 levels "Chef de ménage",..: 1 2 3 12 3 3 1 2 3 3 ...</w:t>
      </w:r>
      <w:r>
        <w:br/>
      </w:r>
      <w:r>
        <w:rPr>
          <w:rStyle w:val="VerbatimChar"/>
        </w:rPr>
        <w:t xml:space="preserve">##  $ harvest_s1q4: num [1:25676] 55 41 11 53 8 2 52 45 17 8 ...</w:t>
      </w:r>
      <w:r>
        <w:br/>
      </w:r>
      <w:r>
        <w:rPr>
          <w:rStyle w:val="VerbatimChar"/>
        </w:rPr>
        <w:t xml:space="preserve">##   ..- attr(*, "format.stata")= chr "%10.0g"</w:t>
      </w:r>
      <w:r>
        <w:br/>
      </w:r>
      <w:r>
        <w:rPr>
          <w:rStyle w:val="VerbatimChar"/>
        </w:rPr>
        <w:t xml:space="preserve">##  $ wt_wave4    : num [1:25676] 18134 18134 18134 18134 18134 ...</w:t>
      </w:r>
      <w:r>
        <w:br/>
      </w:r>
      <w:r>
        <w:rPr>
          <w:rStyle w:val="VerbatimChar"/>
        </w:rPr>
        <w:t xml:space="preserve">##   ..- attr(*, "format.stata")= chr "%10.0g"</w:t>
      </w:r>
    </w:p>
    <w:p>
      <w:pPr>
        <w:pStyle w:val="SourceCode"/>
      </w:pPr>
      <w:r>
        <w:rPr>
          <w:rStyle w:val="VerbatimChar"/>
        </w:rPr>
        <w:t xml:space="preserve">## Rows: 25.676</w:t>
      </w:r>
      <w:r>
        <w:br/>
      </w:r>
      <w:r>
        <w:rPr>
          <w:rStyle w:val="VerbatimChar"/>
        </w:rPr>
        <w:t xml:space="preserve">## Columns: 8</w:t>
      </w:r>
      <w:r>
        <w:br/>
      </w:r>
      <w:r>
        <w:rPr>
          <w:rStyle w:val="VerbatimChar"/>
        </w:rPr>
        <w:t xml:space="preserve">## $ hhid         &lt;dbl&gt; 10001, 10001, 10001, 10001, 10001, 10001, 10002, 10002, 1…</w:t>
      </w:r>
      <w:r>
        <w:br/>
      </w:r>
      <w:r>
        <w:rPr>
          <w:rStyle w:val="VerbatimChar"/>
        </w:rPr>
        <w:t xml:space="preserve">## $ indiv        &lt;dbl&gt; 1, 2, 3, 4, 8, 9, 1, 2, 3, 8, 9, 1, 2, 3, 4, 5, 6, 1, 10,…</w:t>
      </w:r>
      <w:r>
        <w:br/>
      </w:r>
      <w:r>
        <w:rPr>
          <w:rStyle w:val="VerbatimChar"/>
        </w:rPr>
        <w:t xml:space="preserve">## $ strata       &lt;fct&gt; 4. South East, 4. South East, 4. South East, 4. South Eas…</w:t>
      </w:r>
      <w:r>
        <w:br/>
      </w:r>
      <w:r>
        <w:rPr>
          <w:rStyle w:val="VerbatimChar"/>
        </w:rPr>
        <w:t xml:space="preserve">## $ ea           &lt;fct&gt; 670, 670, 670, 670, 670, 670, 670, 670, 670, 670, 670, 67…</w:t>
      </w:r>
      <w:r>
        <w:br/>
      </w:r>
      <w:r>
        <w:rPr>
          <w:rStyle w:val="VerbatimChar"/>
        </w:rPr>
        <w:t xml:space="preserve">## $ harvest_s1q2 &lt;fct&gt; Homme, Femme, Femme, Femme, Homme, Homme, Homme, Femme, H…</w:t>
      </w:r>
      <w:r>
        <w:br/>
      </w:r>
      <w:r>
        <w:rPr>
          <w:rStyle w:val="VerbatimChar"/>
        </w:rPr>
        <w:t xml:space="preserve">## $ harvest_s1q3 &lt;fct&gt; Chef de ménage, Conjoint(e), Enfant, Employé(e) domestiqu…</w:t>
      </w:r>
      <w:r>
        <w:br/>
      </w:r>
      <w:r>
        <w:rPr>
          <w:rStyle w:val="VerbatimChar"/>
        </w:rPr>
        <w:t xml:space="preserve">## $ harvest_s1q4 &lt;dbl&gt; 55, 41, 11, 53, 8, 2, 52, 45, 17, 8, 6, 60, 49, 25, 23, 1…</w:t>
      </w:r>
      <w:r>
        <w:br/>
      </w:r>
      <w:r>
        <w:rPr>
          <w:rStyle w:val="VerbatimChar"/>
        </w:rPr>
        <w:t xml:space="preserve">## $ wt_wave4     &lt;dbl&gt; 18134,435, 18134,435, 18134,435, 18134,435, 18134,435, 18…</w:t>
      </w:r>
    </w:p>
    <w:p>
      <w:pPr>
        <w:pStyle w:val="FirstParagraph"/>
      </w:pPr>
      <w:r>
        <w:t xml:space="preserve">Nous n’appliquerons le</w:t>
      </w:r>
      <w:r>
        <w:t xml:space="preserve"> </w:t>
      </w:r>
      <w:r>
        <w:rPr>
          <w:rStyle w:val="VerbatimChar"/>
        </w:rPr>
        <w:t xml:space="preserve">summary</w:t>
      </w:r>
      <w:r>
        <w:t xml:space="preserve"> </w:t>
      </w:r>
      <w:r>
        <w:t xml:space="preserve">qu’aux variables qui ne sont pas des ID :</w:t>
      </w:r>
    </w:p>
    <w:p>
      <w:pPr>
        <w:pStyle w:val="SourceCode"/>
      </w:pPr>
      <w:r>
        <w:rPr>
          <w:rStyle w:val="VerbatimChar"/>
        </w:rPr>
        <w:t xml:space="preserve">##               strata           ea        harvest_s1q2          harvest_s1q3  </w:t>
      </w:r>
      <w:r>
        <w:br/>
      </w:r>
      <w:r>
        <w:rPr>
          <w:rStyle w:val="VerbatimChar"/>
        </w:rPr>
        <w:t xml:space="preserve">##  1. North Central:4244   0      :  757   Homme:12778   Enfant        :14083  </w:t>
      </w:r>
      <w:r>
        <w:br/>
      </w:r>
      <w:r>
        <w:rPr>
          <w:rStyle w:val="VerbatimChar"/>
        </w:rPr>
        <w:t xml:space="preserve">##  2. North East   :5604   10     :  417   Femme:12898   Chef de ménage: 4958  </w:t>
      </w:r>
      <w:r>
        <w:br/>
      </w:r>
      <w:r>
        <w:rPr>
          <w:rStyle w:val="VerbatimChar"/>
        </w:rPr>
        <w:t xml:space="preserve">##  3. North West   :5956   144    :  216                 Conjoint(e)   : 4207  </w:t>
      </w:r>
      <w:r>
        <w:br/>
      </w:r>
      <w:r>
        <w:rPr>
          <w:rStyle w:val="VerbatimChar"/>
        </w:rPr>
        <w:t xml:space="preserve">##  4. South East   :3297   118    :  189                 Petit-enfant  :  927  </w:t>
      </w:r>
      <w:r>
        <w:br/>
      </w:r>
      <w:r>
        <w:rPr>
          <w:rStyle w:val="VerbatimChar"/>
        </w:rPr>
        <w:t xml:space="preserve">##  5. South South  :3643   284    :  178                 Frère/Sœur    :  460  </w:t>
      </w:r>
      <w:r>
        <w:br/>
      </w:r>
      <w:r>
        <w:rPr>
          <w:rStyle w:val="VerbatimChar"/>
        </w:rPr>
        <w:t xml:space="preserve">##  6. South West   :2932   668    :  178                 Père/Mère     :  280  </w:t>
      </w:r>
      <w:r>
        <w:br/>
      </w:r>
      <w:r>
        <w:rPr>
          <w:rStyle w:val="VerbatimChar"/>
        </w:rPr>
        <w:t xml:space="preserve">##                          (Other):23741                 (Other)       :  761  </w:t>
      </w:r>
      <w:r>
        <w:br/>
      </w:r>
      <w:r>
        <w:rPr>
          <w:rStyle w:val="VerbatimChar"/>
        </w:rPr>
        <w:t xml:space="preserve">##   harvest_s1q4      wt_wave4      </w:t>
      </w:r>
      <w:r>
        <w:br/>
      </w:r>
      <w:r>
        <w:rPr>
          <w:rStyle w:val="VerbatimChar"/>
        </w:rPr>
        <w:t xml:space="preserve">##  Min.   : 0,00   Min.   :  446,3  </w:t>
      </w:r>
      <w:r>
        <w:br/>
      </w:r>
      <w:r>
        <w:rPr>
          <w:rStyle w:val="VerbatimChar"/>
        </w:rPr>
        <w:t xml:space="preserve">##  1st Qu.: 9,00   1st Qu.: 2500,5  </w:t>
      </w:r>
      <w:r>
        <w:br/>
      </w:r>
      <w:r>
        <w:rPr>
          <w:rStyle w:val="VerbatimChar"/>
        </w:rPr>
        <w:t xml:space="preserve">##  Median :18,00   Median : 4335,5  </w:t>
      </w:r>
      <w:r>
        <w:br/>
      </w:r>
      <w:r>
        <w:rPr>
          <w:rStyle w:val="VerbatimChar"/>
        </w:rPr>
        <w:t xml:space="preserve">##  Mean   :24,27   Mean   : 6420,3  </w:t>
      </w:r>
      <w:r>
        <w:br/>
      </w:r>
      <w:r>
        <w:rPr>
          <w:rStyle w:val="VerbatimChar"/>
        </w:rPr>
        <w:t xml:space="preserve">##  3rd Qu.:37,00   3rd Qu.: 7748,8  </w:t>
      </w:r>
      <w:r>
        <w:br/>
      </w:r>
      <w:r>
        <w:rPr>
          <w:rStyle w:val="VerbatimChar"/>
        </w:rPr>
        <w:t xml:space="preserve">##  Max.   :75,50   Max.   :49852,5  </w:t>
      </w:r>
      <w:r>
        <w:br/>
      </w:r>
      <w:r>
        <w:rPr>
          <w:rStyle w:val="VerbatimChar"/>
        </w:rPr>
        <w:t xml:space="preserve">## </w:t>
      </w:r>
    </w:p>
    <w:bookmarkEnd w:id="27"/>
    <w:bookmarkStart w:id="28" w:name="b.-vérifier-les-doublons"/>
    <w:p>
      <w:pPr>
        <w:pStyle w:val="Titre2"/>
      </w:pPr>
      <w:r>
        <w:t xml:space="preserve">1.b. Vérifier les doublons</w:t>
      </w:r>
    </w:p>
    <w:p>
      <w:pPr>
        <w:pStyle w:val="FirstParagraph"/>
      </w:pPr>
      <w:r>
        <w:t xml:space="preserve">On compare le nombre de ligne de la base</w:t>
      </w:r>
      <w:r>
        <w:t xml:space="preserve"> </w:t>
      </w:r>
      <w:r>
        <w:rPr>
          <w:rStyle w:val="VerbatimChar"/>
        </w:rPr>
        <w:t xml:space="preserve">sect1_harvestw4</w:t>
      </w:r>
      <w:r>
        <w:t xml:space="preserve"> </w:t>
      </w:r>
      <w:r>
        <w:t xml:space="preserve">au nombre de combinaison hhid+indiv uniques, s’ils sont égaux (c’est-à-dire que le code suivant renvoie</w:t>
      </w:r>
      <w:r>
        <w:t xml:space="preserve"> </w:t>
      </w:r>
      <w:r>
        <w:rPr>
          <w:rStyle w:val="VerbatimChar"/>
        </w:rPr>
        <w:t xml:space="preserve">TRUE</w:t>
      </w:r>
      <w:r>
        <w:t xml:space="preserve">), il n’y a pas de doublons dans la base.</w:t>
      </w:r>
    </w:p>
    <w:p>
      <w:pPr>
        <w:pStyle w:val="SourceCode"/>
      </w:pPr>
      <w:r>
        <w:rPr>
          <w:rStyle w:val="VerbatimChar"/>
        </w:rPr>
        <w:t xml:space="preserve">## [1] TRUE</w:t>
      </w:r>
    </w:p>
    <w:p>
      <w:pPr>
        <w:pStyle w:val="FirstParagraph"/>
      </w:pPr>
      <w:r>
        <w:t xml:space="preserve">Il n’y a donc pas de doublons sur</w:t>
      </w:r>
      <w:r>
        <w:t xml:space="preserve"> </w:t>
      </w:r>
      <w:r>
        <w:rPr>
          <w:rStyle w:val="VerbatimChar"/>
        </w:rPr>
        <w:t xml:space="preserve">hhid+indiv</w:t>
      </w:r>
      <w:r>
        <w:t xml:space="preserve">.</w:t>
      </w:r>
    </w:p>
    <w:bookmarkEnd w:id="28"/>
    <w:bookmarkStart w:id="32" w:name="c.-valeurs-manquantes"/>
    <w:p>
      <w:pPr>
        <w:pStyle w:val="Titre2"/>
      </w:pPr>
      <w:r>
        <w:t xml:space="preserve">1.c. Valeurs manquantes</w:t>
      </w:r>
    </w:p>
    <w:p>
      <w:pPr>
        <w:pStyle w:val="FirstParagraph"/>
      </w:pPr>
      <w:r>
        <w:t xml:space="preserve">Comme nous pouvons le voir, toutes les valeurs manquantes ont été traitées comme expliqué précédemment.</w:t>
      </w:r>
    </w:p>
    <w:p>
      <w:pPr>
        <w:pStyle w:val="Corpsdetexte"/>
      </w:pPr>
      <w:r>
        <w:drawing>
          <wp:inline>
            <wp:extent cx="5969000" cy="4476750"/>
            <wp:effectExtent b="0" l="0" r="0" t="0"/>
            <wp:docPr descr="" title="" id="30" name="Picture"/>
            <a:graphic>
              <a:graphicData uri="http://schemas.openxmlformats.org/drawingml/2006/picture">
                <pic:pic>
                  <pic:nvPicPr>
                    <pic:cNvPr descr="Rapport_files/figure-docx/unnamed-chunk-10-1.png" id="31" name="Picture"/>
                    <pic:cNvPicPr>
                      <a:picLocks noChangeArrowheads="1" noChangeAspect="1"/>
                    </pic:cNvPicPr>
                  </pic:nvPicPr>
                  <pic:blipFill>
                    <a:blip r:embed="rId29"/>
                    <a:stretch>
                      <a:fillRect/>
                    </a:stretch>
                  </pic:blipFill>
                  <pic:spPr bwMode="auto">
                    <a:xfrm>
                      <a:off x="0" y="0"/>
                      <a:ext cx="5969000" cy="4476750"/>
                    </a:xfrm>
                    <a:prstGeom prst="rect">
                      <a:avLst/>
                    </a:prstGeom>
                    <a:noFill/>
                    <a:ln w="9525">
                      <a:noFill/>
                      <a:headEnd/>
                      <a:tailEnd/>
                    </a:ln>
                  </pic:spPr>
                </pic:pic>
              </a:graphicData>
            </a:graphic>
          </wp:inline>
        </w:drawing>
      </w:r>
    </w:p>
    <w:bookmarkEnd w:id="32"/>
    <w:bookmarkEnd w:id="33"/>
    <w:bookmarkStart w:id="48" w:name="Xab72e540805bbd2037a17f8850eb25a1d4fc39c"/>
    <w:p>
      <w:pPr>
        <w:pStyle w:val="Titre1"/>
      </w:pPr>
      <w:r>
        <w:t xml:space="preserve">2. Analyse univariée de l’âge des membres: histogramme (binwidth = 5), boîte à moustaches, statistiques descriptives (moyenne, médiane, Q1, Q3, CV, asymétrie). Tester la normalité avec Shapiro-Wilk.</w:t>
      </w:r>
    </w:p>
    <w:bookmarkStart w:id="40" w:name="a.distribution-de-lâge-des-membres"/>
    <w:p>
      <w:pPr>
        <w:pStyle w:val="Titre2"/>
      </w:pPr>
      <w:r>
        <w:t xml:space="preserve">2.a.Distribution de l’âge des membres</w:t>
      </w:r>
    </w:p>
    <w:p>
      <w:pPr>
        <w:pStyle w:val="FirstParagraph"/>
      </w:pPr>
      <w:r>
        <w:t xml:space="preserve">Soient</w:t>
      </w:r>
      <w:r>
        <w:t xml:space="preserve"> </w:t>
      </w:r>
      <w:r>
        <w:rPr>
          <w:rStyle w:val="VerbatimChar"/>
        </w:rPr>
        <w:t xml:space="preserve">x</w:t>
      </w:r>
      <w:r>
        <w:t xml:space="preserve"> </w:t>
      </w:r>
      <w:r>
        <w:t xml:space="preserve">l’âge du membre du ménage et</w:t>
      </w:r>
      <w:r>
        <w:t xml:space="preserve"> </w:t>
      </w:r>
      <w:r>
        <w:rPr>
          <w:rStyle w:val="VerbatimChar"/>
        </w:rPr>
        <w:t xml:space="preserve">w</w:t>
      </w:r>
      <w:r>
        <w:t xml:space="preserve"> </w:t>
      </w:r>
      <w:r>
        <w:t xml:space="preserve">le poids qui lui est association :</w:t>
      </w:r>
    </w:p>
    <w:p>
      <w:pPr>
        <w:pStyle w:val="Compact"/>
        <w:numPr>
          <w:ilvl w:val="0"/>
          <w:numId w:val="1002"/>
        </w:numPr>
      </w:pPr>
      <w:r>
        <w:rPr>
          <w:b/>
          <w:bCs/>
        </w:rPr>
        <w:t xml:space="preserve">Coefficient d’asymétrie de Fisher</w:t>
      </w:r>
      <w:r>
        <w:br/>
      </w:r>
      <w:r>
        <w:t xml:space="preserve">Le coefficient d’asymétrie de Fisher est défini par :</w:t>
      </w:r>
    </w:p>
    <w:p>
      <w:pPr>
        <w:pStyle w:val="Compact"/>
      </w:pPr>
      <m:oMathPara>
        <m:oMathParaPr>
          <m:jc m:val="center"/>
        </m:oMathParaPr>
        <m:oMath>
          <m:sSub>
            <m:e>
              <m:r>
                <m:t>g</m:t>
              </m:r>
            </m:e>
            <m:sub>
              <m:r>
                <m:t>1</m:t>
              </m:r>
            </m:sub>
          </m:sSub>
          <m:r>
            <m:rPr>
              <m:sty m:val="p"/>
            </m:rPr>
            <m:t>=</m:t>
          </m:r>
          <m:f>
            <m:fPr>
              <m:type m:val="bar"/>
            </m:fPr>
            <m:num>
              <m:sSub>
                <m:e>
                  <m:r>
                    <m:t>μ</m:t>
                  </m:r>
                </m:e>
                <m:sub>
                  <m:r>
                    <m:t>3</m:t>
                  </m:r>
                </m:sub>
              </m:sSub>
            </m:num>
            <m:den>
              <m:sSup>
                <m:e>
                  <m:r>
                    <m:t>σ</m:t>
                  </m:r>
                </m:e>
                <m:sup>
                  <m:r>
                    <m:t>3</m:t>
                  </m:r>
                </m:sup>
              </m:sSup>
            </m:den>
          </m:f>
        </m:oMath>
      </m:oMathPara>
    </w:p>
    <w:p>
      <w:pPr>
        <w:pStyle w:val="FirstParagraph"/>
      </w:pPr>
      <w:r>
        <w:t xml:space="preserve">où</w:t>
      </w:r>
      <w:r>
        <w:t xml:space="preserve"> </w:t>
      </w:r>
      <m:oMath>
        <m:sSub>
          <m:e>
            <m:r>
              <m:t>μ</m:t>
            </m:r>
          </m:e>
          <m:sub>
            <m:r>
              <m:t>3</m:t>
            </m:r>
          </m:sub>
        </m:sSub>
      </m:oMath>
      <w:r>
        <w:t xml:space="preserve"> </w:t>
      </w:r>
      <w:r>
        <w:t xml:space="preserve">est le moment centré d’ordre 3 :</w:t>
      </w:r>
    </w:p>
    <w:p>
      <w:pPr>
        <w:pStyle w:val="Corpsdetexte"/>
      </w:pPr>
      <m:oMathPara>
        <m:oMathParaPr>
          <m:jc m:val="center"/>
        </m:oMathParaPr>
        <m:oMath>
          <m:sSub>
            <m:e>
              <m:r>
                <m:t>μ</m:t>
              </m:r>
            </m:e>
            <m:sub>
              <m:r>
                <m:t>3</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sepChr m:val=""/>
                      <m:endChr m:val=")"/>
                      <m:grow/>
                    </m:dPr>
                    <m:e>
                      <m:sSub>
                        <m:e>
                          <m:r>
                            <m:t>x</m:t>
                          </m:r>
                        </m:e>
                        <m:sub>
                          <m:r>
                            <m:t>i</m:t>
                          </m:r>
                        </m:sub>
                      </m:sSub>
                      <m:r>
                        <m:rPr>
                          <m:sty m:val="p"/>
                        </m:rPr>
                        <m:t>−</m:t>
                      </m:r>
                      <m:acc>
                        <m:accPr>
                          <m:chr m:val="‾"/>
                        </m:accPr>
                        <m:e>
                          <m:r>
                            <m:t>x</m:t>
                          </m:r>
                        </m:e>
                      </m:acc>
                    </m:e>
                  </m:d>
                </m:e>
                <m:sup>
                  <m:r>
                    <m:t>3</m:t>
                  </m:r>
                </m:sup>
              </m:sSup>
            </m:e>
          </m:nary>
        </m:oMath>
      </m:oMathPara>
    </w:p>
    <w:p>
      <w:pPr>
        <w:pStyle w:val="FirstParagraph"/>
      </w:pPr>
      <w:r>
        <w:t xml:space="preserve">et</w:t>
      </w:r>
      <w:r>
        <w:t xml:space="preserve"> </w:t>
      </w:r>
      <m:oMath>
        <m:r>
          <m:t>σ</m:t>
        </m:r>
      </m:oMath>
      <w:r>
        <w:t xml:space="preserve"> </w:t>
      </w:r>
      <w:r>
        <w:t xml:space="preserve">l’écart-type :</w:t>
      </w:r>
    </w:p>
    <w:p>
      <w:pPr>
        <w:pStyle w:val="Corpsdetexte"/>
      </w:pPr>
      <m:oMathPara>
        <m:oMathParaPr>
          <m:jc m:val="center"/>
        </m:oMathParaPr>
        <m:oMath>
          <m:r>
            <m:t>σ</m:t>
          </m:r>
          <m:r>
            <m:rPr>
              <m:sty m:val="p"/>
            </m:rPr>
            <m:t>=</m:t>
          </m:r>
          <m:rad>
            <m:radPr>
              <m:degHide m:val="on"/>
            </m:radPr>
            <m:deg/>
            <m:e>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sepChr m:val=""/>
                          <m:endChr m:val=")"/>
                          <m:grow/>
                        </m:dPr>
                        <m:e>
                          <m:sSub>
                            <m:e>
                              <m:r>
                                <m:t>x</m:t>
                              </m:r>
                            </m:e>
                            <m:sub>
                              <m:r>
                                <m:t>i</m:t>
                              </m:r>
                            </m:sub>
                          </m:sSub>
                          <m:r>
                            <m:rPr>
                              <m:sty m:val="p"/>
                            </m:rPr>
                            <m:t>−</m:t>
                          </m:r>
                          <m:acc>
                            <m:accPr>
                              <m:chr m:val="‾"/>
                            </m:accPr>
                            <m:e>
                              <m:r>
                                <m:t>x</m:t>
                              </m:r>
                            </m:e>
                          </m:acc>
                        </m:e>
                      </m:d>
                    </m:e>
                    <m:sup>
                      <m:r>
                        <m:t>2</m:t>
                      </m:r>
                    </m:sup>
                  </m:sSup>
                </m:e>
              </m:nary>
            </m:e>
          </m:rad>
        </m:oMath>
      </m:oMathPara>
    </w:p>
    <w:p>
      <w:pPr>
        <w:pStyle w:val="FirstParagraph"/>
      </w:pPr>
      <w:r>
        <w:t xml:space="preserve">Dans le cadre d’une enquête par sondage, chaque individu</w:t>
      </w:r>
      <w:r>
        <w:t xml:space="preserve"> </w:t>
      </w:r>
      <m:oMath>
        <m:r>
          <m:t>i</m:t>
        </m:r>
      </m:oMath>
      <w:r>
        <w:t xml:space="preserve"> </w:t>
      </w:r>
      <w:r>
        <w:t xml:space="preserve">est associé à un poids</w:t>
      </w:r>
      <w:r>
        <w:t xml:space="preserve"> </w:t>
      </w:r>
      <m:oMath>
        <m:sSub>
          <m:e>
            <m:r>
              <m:t>w</m:t>
            </m:r>
          </m:e>
          <m:sub>
            <m:r>
              <m:t>i</m:t>
            </m:r>
          </m:sub>
        </m:sSub>
      </m:oMath>
      <w:r>
        <w:t xml:space="preserve"> </w:t>
      </w:r>
      <w:r>
        <w:t xml:space="preserve">(tel que</w:t>
      </w:r>
      <w:r>
        <w:t xml:space="preserve"> </w:t>
      </w:r>
      <m:oMath>
        <m:nary>
          <m:naryPr>
            <m:chr m:val="∑"/>
            <m:limLoc m:val="undOvr"/>
            <m:subHide m:val="off"/>
            <m:supHide m:val="off"/>
          </m:naryPr>
          <m:sub>
            <m:r>
              <m:t>i</m:t>
            </m:r>
            <m:r>
              <m:rPr>
                <m:sty m:val="p"/>
              </m:rPr>
              <m:t>=</m:t>
            </m:r>
            <m:r>
              <m:t>1</m:t>
            </m:r>
          </m:sub>
          <m:sup>
            <m:r>
              <m:t>n</m:t>
            </m:r>
          </m:sup>
          <m:e>
            <m:sSub>
              <m:e>
                <m:r>
                  <m:t>w</m:t>
                </m:r>
              </m:e>
              <m:sub>
                <m:r>
                  <m:t>i</m:t>
                </m:r>
              </m:sub>
            </m:sSub>
          </m:e>
        </m:nary>
        <m:r>
          <m:rPr>
            <m:sty m:val="p"/>
          </m:rPr>
          <m:t>=</m:t>
        </m:r>
        <m:r>
          <m:t>1</m:t>
        </m:r>
      </m:oMath>
      <w:r>
        <w:t xml:space="preserve">), nous substituons alors la moyenne simple par la moyenne pondérée :</w:t>
      </w:r>
    </w:p>
    <w:p>
      <w:pPr>
        <w:pStyle w:val="Corpsdetexte"/>
      </w:pPr>
      <m:oMathPara>
        <m:oMathParaPr>
          <m:jc m:val="center"/>
        </m:oMathParaPr>
        <m:oMath>
          <m:sSub>
            <m:e>
              <m:acc>
                <m:accPr>
                  <m:chr m:val="‾"/>
                </m:accPr>
                <m:e>
                  <m:r>
                    <m:t>x</m:t>
                  </m:r>
                </m:e>
              </m:acc>
            </m:e>
            <m:sub>
              <m:r>
                <m:t>w</m:t>
              </m:r>
            </m:sub>
          </m:sSub>
          <m:r>
            <m:rPr>
              <m:sty m:val="p"/>
            </m:rPr>
            <m:t>=</m:t>
          </m:r>
          <m:nary>
            <m:naryPr>
              <m:chr m:val="∑"/>
              <m:limLoc m:val="undOvr"/>
              <m:subHide m:val="off"/>
              <m:supHide m:val="off"/>
            </m:naryPr>
            <m:sub>
              <m:r>
                <m:t>i</m:t>
              </m:r>
              <m:r>
                <m:rPr>
                  <m:sty m:val="p"/>
                </m:rPr>
                <m:t>=</m:t>
              </m:r>
              <m:r>
                <m:t>1</m:t>
              </m:r>
            </m:sub>
            <m:sup>
              <m:r>
                <m:t>n</m:t>
              </m:r>
            </m:sup>
            <m:e>
              <m:sSub>
                <m:e>
                  <m:r>
                    <m:t>w</m:t>
                  </m:r>
                </m:e>
                <m:sub>
                  <m:r>
                    <m:t>i</m:t>
                  </m:r>
                </m:sub>
              </m:sSub>
            </m:e>
          </m:nary>
          <m:sSub>
            <m:e>
              <m:r>
                <m:t>x</m:t>
              </m:r>
            </m:e>
            <m:sub>
              <m:r>
                <m:t>i</m:t>
              </m:r>
            </m:sub>
          </m:sSub>
        </m:oMath>
      </m:oMathPara>
    </w:p>
    <w:p>
      <w:pPr>
        <w:pStyle w:val="FirstParagraph"/>
      </w:pPr>
      <w:r>
        <w:t xml:space="preserve">Le moment pondéré et l’écart-type deviennent :</w:t>
      </w:r>
    </w:p>
    <w:p>
      <w:pPr>
        <w:pStyle w:val="Corpsdetexte"/>
      </w:pPr>
      <m:oMathPara>
        <m:oMathParaPr>
          <m:jc m:val="center"/>
        </m:oMathParaPr>
        <m:oMath>
          <m:sSubSup>
            <m:e>
              <m:r>
                <m:t>μ</m:t>
              </m:r>
            </m:e>
            <m:sub>
              <m:r>
                <m:t>3</m:t>
              </m:r>
            </m:sub>
            <m:sup>
              <m:r>
                <m:t>w</m:t>
              </m:r>
            </m:sup>
          </m:sSubSup>
          <m:r>
            <m:rPr>
              <m:sty m:val="p"/>
            </m:rPr>
            <m:t>=</m:t>
          </m:r>
          <m:nary>
            <m:naryPr>
              <m:chr m:val="∑"/>
              <m:limLoc m:val="undOvr"/>
              <m:subHide m:val="off"/>
              <m:supHide m:val="off"/>
            </m:naryPr>
            <m:sub>
              <m:r>
                <m:t>i</m:t>
              </m:r>
              <m:r>
                <m:rPr>
                  <m:sty m:val="p"/>
                </m:rPr>
                <m:t>=</m:t>
              </m:r>
              <m:r>
                <m:t>1</m:t>
              </m:r>
            </m:sub>
            <m:sup>
              <m:r>
                <m:t>n</m:t>
              </m:r>
            </m:sup>
            <m:e>
              <m:sSub>
                <m:e>
                  <m:r>
                    <m:t>w</m:t>
                  </m:r>
                </m:e>
                <m:sub>
                  <m:r>
                    <m:t>i</m:t>
                  </m:r>
                </m:sub>
              </m:sSub>
            </m:e>
          </m:nary>
          <m:sSup>
            <m:e>
              <m:d>
                <m:dPr>
                  <m:begChr m:val="("/>
                  <m:sepChr m:val=""/>
                  <m:endChr m:val=")"/>
                  <m:grow/>
                </m:dPr>
                <m:e>
                  <m:sSub>
                    <m:e>
                      <m:r>
                        <m:t>x</m:t>
                      </m:r>
                    </m:e>
                    <m:sub>
                      <m:r>
                        <m:t>i</m:t>
                      </m:r>
                    </m:sub>
                  </m:sSub>
                  <m:r>
                    <m:rPr>
                      <m:sty m:val="p"/>
                    </m:rPr>
                    <m:t>−</m:t>
                  </m:r>
                  <m:sSub>
                    <m:e>
                      <m:acc>
                        <m:accPr>
                          <m:chr m:val="‾"/>
                        </m:accPr>
                        <m:e>
                          <m:r>
                            <m:t>x</m:t>
                          </m:r>
                        </m:e>
                      </m:acc>
                    </m:e>
                    <m:sub>
                      <m:r>
                        <m:t>w</m:t>
                      </m:r>
                    </m:sub>
                  </m:sSub>
                </m:e>
              </m:d>
            </m:e>
            <m:sup>
              <m:r>
                <m:t>3</m:t>
              </m:r>
            </m:sup>
          </m:sSup>
          <m:r>
            <m:t>  </m:t>
          </m:r>
          <m:sSub>
            <m:e>
              <m:r>
                <m:t>σ</m:t>
              </m:r>
            </m:e>
            <m:sub>
              <m:r>
                <m:t>w</m:t>
              </m:r>
            </m:sub>
          </m:sSub>
          <m:r>
            <m:rPr>
              <m:sty m:val="p"/>
            </m:rPr>
            <m:t>=</m:t>
          </m:r>
          <m:rad>
            <m:radPr>
              <m:degHide m:val="on"/>
            </m:radPr>
            <m:deg/>
            <m:e>
              <m:nary>
                <m:naryPr>
                  <m:chr m:val="∑"/>
                  <m:limLoc m:val="undOvr"/>
                  <m:subHide m:val="off"/>
                  <m:supHide m:val="off"/>
                </m:naryPr>
                <m:sub>
                  <m:r>
                    <m:t>i</m:t>
                  </m:r>
                  <m:r>
                    <m:rPr>
                      <m:sty m:val="p"/>
                    </m:rPr>
                    <m:t>=</m:t>
                  </m:r>
                  <m:r>
                    <m:t>1</m:t>
                  </m:r>
                </m:sub>
                <m:sup>
                  <m:r>
                    <m:t>n</m:t>
                  </m:r>
                </m:sup>
                <m:e>
                  <m:sSub>
                    <m:e>
                      <m:r>
                        <m:t>w</m:t>
                      </m:r>
                    </m:e>
                    <m:sub>
                      <m:r>
                        <m:t>i</m:t>
                      </m:r>
                    </m:sub>
                  </m:sSub>
                </m:e>
              </m:nary>
              <m:sSup>
                <m:e>
                  <m:d>
                    <m:dPr>
                      <m:begChr m:val="("/>
                      <m:sepChr m:val=""/>
                      <m:endChr m:val=")"/>
                      <m:grow/>
                    </m:dPr>
                    <m:e>
                      <m:sSub>
                        <m:e>
                          <m:r>
                            <m:t>x</m:t>
                          </m:r>
                        </m:e>
                        <m:sub>
                          <m:r>
                            <m:t>i</m:t>
                          </m:r>
                        </m:sub>
                      </m:sSub>
                      <m:r>
                        <m:rPr>
                          <m:sty m:val="p"/>
                        </m:rPr>
                        <m:t>−</m:t>
                      </m:r>
                      <m:sSub>
                        <m:e>
                          <m:acc>
                            <m:accPr>
                              <m:chr m:val="‾"/>
                            </m:accPr>
                            <m:e>
                              <m:r>
                                <m:t>x</m:t>
                              </m:r>
                            </m:e>
                          </m:acc>
                        </m:e>
                        <m:sub>
                          <m:r>
                            <m:t>w</m:t>
                          </m:r>
                        </m:sub>
                      </m:sSub>
                    </m:e>
                  </m:d>
                </m:e>
                <m:sup>
                  <m:r>
                    <m:t>2</m:t>
                  </m:r>
                </m:sup>
              </m:sSup>
            </m:e>
          </m:rad>
        </m:oMath>
      </m:oMathPara>
    </w:p>
    <w:p>
      <w:pPr>
        <w:pStyle w:val="FirstParagraph"/>
      </w:pPr>
      <w:r>
        <w:t xml:space="preserve">Le coefficient d’asymétrie pour le cas pondéré est alors :</w:t>
      </w:r>
    </w:p>
    <w:p>
      <w:pPr>
        <w:pStyle w:val="Corpsdetexte"/>
      </w:pPr>
      <m:oMathPara>
        <m:oMathParaPr>
          <m:jc m:val="center"/>
        </m:oMathParaPr>
        <m:oMath>
          <m:sSubSup>
            <m:e>
              <m:r>
                <m:t>g</m:t>
              </m:r>
            </m:e>
            <m:sub>
              <m:r>
                <m:t>1</m:t>
              </m:r>
            </m:sub>
            <m:sup>
              <m:r>
                <m:t>w</m:t>
              </m:r>
            </m:sup>
          </m:sSubSup>
          <m:r>
            <m:rPr>
              <m:sty m:val="p"/>
            </m:rPr>
            <m:t>=</m:t>
          </m:r>
          <m:f>
            <m:fPr>
              <m:type m:val="bar"/>
            </m:fPr>
            <m:num>
              <m:sSubSup>
                <m:e>
                  <m:r>
                    <m:t>μ</m:t>
                  </m:r>
                </m:e>
                <m:sub>
                  <m:r>
                    <m:t>3</m:t>
                  </m:r>
                </m:sub>
                <m:sup>
                  <m:r>
                    <m:t>w</m:t>
                  </m:r>
                </m:sup>
              </m:sSubSup>
            </m:num>
            <m:den>
              <m:sSup>
                <m:e>
                  <m:d>
                    <m:dPr>
                      <m:begChr m:val="("/>
                      <m:sepChr m:val=""/>
                      <m:endChr m:val=")"/>
                      <m:grow/>
                    </m:dPr>
                    <m:e>
                      <m:sSub>
                        <m:e>
                          <m:r>
                            <m:t>σ</m:t>
                          </m:r>
                        </m:e>
                        <m:sub>
                          <m:r>
                            <m:t>w</m:t>
                          </m:r>
                        </m:sub>
                      </m:sSub>
                    </m:e>
                  </m:d>
                </m:e>
                <m:sup>
                  <m:r>
                    <m:t>3</m:t>
                  </m:r>
                </m:sup>
              </m:sSup>
            </m:den>
          </m:f>
        </m:oMath>
      </m:oMathPara>
    </w:p>
    <w:p>
      <w:pPr>
        <w:pStyle w:val="FirstParagraph"/>
      </w:pPr>
      <m:oMath>
        <m:r>
          <m:rPr>
            <m:nor/>
            <m:sty m:val="p"/>
          </m:rPr>
          <m:t>où</m:t>
        </m:r>
        <m:r>
          <m:t> </m:t>
        </m:r>
        <m:sSub>
          <m:e>
            <m:acc>
              <m:accPr>
                <m:chr m:val="‾"/>
              </m:accPr>
              <m:e>
                <m:r>
                  <m:t>x</m:t>
                </m:r>
              </m:e>
            </m:acc>
          </m:e>
          <m:sub>
            <m:r>
              <m:t>w</m:t>
            </m:r>
          </m:sub>
        </m:sSub>
        <m:r>
          <m:rPr>
            <m:sty m:val="p"/>
          </m:rPr>
          <m:t>=</m:t>
        </m:r>
        <m:f>
          <m:fPr>
            <m:type m:val="bar"/>
          </m:fPr>
          <m:num>
            <m:nary>
              <m:naryPr>
                <m:chr m:val="∑"/>
                <m:limLoc m:val="undOvr"/>
                <m:subHide m:val="off"/>
                <m:supHide m:val="off"/>
              </m:naryPr>
              <m:sub>
                <m:r>
                  <m:t>i</m:t>
                </m:r>
                <m:r>
                  <m:rPr>
                    <m:sty m:val="p"/>
                  </m:rPr>
                  <m:t>=</m:t>
                </m:r>
                <m:r>
                  <m:t>1</m:t>
                </m:r>
              </m:sub>
              <m:sup>
                <m:r>
                  <m:t>n</m:t>
                </m:r>
              </m:sup>
              <m:e>
                <m:sSub>
                  <m:e>
                    <m:r>
                      <m:t>w</m:t>
                    </m:r>
                  </m:e>
                  <m:sub>
                    <m:r>
                      <m:t>i</m:t>
                    </m:r>
                  </m:sub>
                </m:sSub>
              </m:e>
            </m:nary>
            <m:sSub>
              <m:e>
                <m:r>
                  <m:t>x</m:t>
                </m:r>
              </m:e>
              <m:sub>
                <m:r>
                  <m:t>i</m:t>
                </m:r>
              </m:sub>
            </m:sSub>
          </m:num>
          <m:den>
            <m:nary>
              <m:naryPr>
                <m:chr m:val="∑"/>
                <m:limLoc m:val="undOvr"/>
                <m:subHide m:val="off"/>
                <m:supHide m:val="off"/>
              </m:naryPr>
              <m:sub>
                <m:r>
                  <m:t>i</m:t>
                </m:r>
                <m:r>
                  <m:rPr>
                    <m:sty m:val="p"/>
                  </m:rPr>
                  <m:t>=</m:t>
                </m:r>
                <m:r>
                  <m:t>1</m:t>
                </m:r>
              </m:sub>
              <m:sup>
                <m:r>
                  <m:t>n</m:t>
                </m:r>
              </m:sup>
              <m:e>
                <m:sSub>
                  <m:e>
                    <m:r>
                      <m:t>w</m:t>
                    </m:r>
                  </m:e>
                  <m:sub>
                    <m:r>
                      <m:t>i</m:t>
                    </m:r>
                  </m:sub>
                </m:sSub>
              </m:e>
            </m:nary>
          </m:den>
        </m:f>
      </m:oMath>
      <w:r>
        <w:t xml:space="preserve">$</w:t>
      </w:r>
    </w:p>
    <w:p>
      <w:pPr>
        <w:pStyle w:val="SourceCode"/>
      </w:pPr>
      <w:r>
        <w:rPr>
          <w:rStyle w:val="VerbatimChar"/>
        </w:rPr>
        <w:t xml:space="preserve">## Coefficient d'asymétrie pondéré : 0,9375</w:t>
      </w:r>
    </w:p>
    <w:p>
      <w:pPr>
        <w:pStyle w:val="FirstParagraph"/>
      </w:pPr>
      <w:r>
        <w:t xml:space="preserve">Le coefficient d’asymétrie de Fisher s’établit à 0,9375, nous avons donc</w:t>
      </w:r>
      <w:r>
        <w:t xml:space="preserve"> </w:t>
      </w:r>
      <m:oMath>
        <m:r>
          <m:t>γ</m:t>
        </m:r>
        <m:r>
          <m:rPr>
            <m:sty m:val="p"/>
          </m:rPr>
          <m:t>&gt;</m:t>
        </m:r>
        <m:r>
          <m:t>0</m:t>
        </m:r>
      </m:oMath>
      <w:r>
        <w:t xml:space="preserve">. La distribution est donc étalée vers la droite (ou oblique à gauche).</w:t>
      </w:r>
      <w:r>
        <w:t xml:space="preserve"> </w:t>
      </w:r>
      <w:r>
        <w:t xml:space="preserve">-</w:t>
      </w:r>
      <w:r>
        <w:t xml:space="preserve"> </w:t>
      </w:r>
      <w:r>
        <w:rPr>
          <w:b/>
          <w:bCs/>
        </w:rPr>
        <w:t xml:space="preserve">Histogramme</w:t>
      </w:r>
    </w:p>
    <w:p>
      <w:pPr>
        <w:pStyle w:val="Corpsdetexte"/>
      </w:pPr>
      <w:r>
        <w:t xml:space="preserve">Le resultat du coefficient d’asymétrie est corroboré par l’histogramme suivant. Nous avons bien une distribution étalée vers la droite.Et la majorité des ménages ayant moins de trente ans.</w:t>
      </w:r>
    </w:p>
    <w:p>
      <w:pPr>
        <w:pStyle w:val="Corpsdetexte"/>
      </w:pPr>
      <w:r>
        <w:drawing>
          <wp:inline>
            <wp:extent cx="4620126" cy="2772075"/>
            <wp:effectExtent b="0" l="0" r="0" t="0"/>
            <wp:docPr descr="" title="" id="35" name="Picture"/>
            <a:graphic>
              <a:graphicData uri="http://schemas.openxmlformats.org/drawingml/2006/picture">
                <pic:pic>
                  <pic:nvPicPr>
                    <pic:cNvPr descr="Rapport_files/figure-docx/unnamed-chunk-13-1.png" id="36" name="Picture"/>
                    <pic:cNvPicPr>
                      <a:picLocks noChangeArrowheads="1" noChangeAspect="1"/>
                    </pic:cNvPicPr>
                  </pic:nvPicPr>
                  <pic:blipFill>
                    <a:blip r:embed="rId34"/>
                    <a:stretch>
                      <a:fillRect/>
                    </a:stretch>
                  </pic:blipFill>
                  <pic:spPr bwMode="auto">
                    <a:xfrm>
                      <a:off x="0" y="0"/>
                      <a:ext cx="4620126" cy="2772075"/>
                    </a:xfrm>
                    <a:prstGeom prst="rect">
                      <a:avLst/>
                    </a:prstGeom>
                    <a:noFill/>
                    <a:ln w="9525">
                      <a:noFill/>
                      <a:headEnd/>
                      <a:tailEnd/>
                    </a:ln>
                  </pic:spPr>
                </pic:pic>
              </a:graphicData>
            </a:graphic>
          </wp:inline>
        </w:drawing>
      </w:r>
      <w:r>
        <w:t xml:space="preserve"> </w:t>
      </w:r>
      <w:r>
        <w:t xml:space="preserve">Les résultats précédents sont également confirmé par la boîte à moustache qui suit. Premièrement, comme l’indiquait l’histogramme, la distribution est étalée à gauche, l’intervalle</w:t>
      </w:r>
      <w:r>
        <w:t xml:space="preserve"> </w:t>
      </w:r>
      <m:oMath>
        <m:d>
          <m:dPr>
            <m:begChr m:val="["/>
            <m:sepChr m:val=""/>
            <m:endChr m:val="]"/>
            <m:grow/>
          </m:dPr>
          <m:e>
            <m:sSub>
              <m:e>
                <m:r>
                  <m:t>Q</m:t>
                </m:r>
              </m:e>
              <m:sub>
                <m:r>
                  <m:t>1</m:t>
                </m:r>
              </m:sub>
            </m:sSub>
            <m:r>
              <m:rPr>
                <m:sty m:val="p"/>
              </m:rPr>
              <m:t>;</m:t>
            </m:r>
            <m:sSub>
              <m:e>
                <m:r>
                  <m:t>M</m:t>
                </m:r>
              </m:e>
              <m:sub>
                <m:r>
                  <m:t>e</m:t>
                </m:r>
              </m:sub>
            </m:sSub>
          </m:e>
        </m:d>
      </m:oMath>
      <w:r>
        <w:t xml:space="preserve"> </w:t>
      </w:r>
      <w:r>
        <w:t xml:space="preserve">étant moint étendu que l’intervalle</w:t>
      </w:r>
      <w:r>
        <w:t xml:space="preserve"> </w:t>
      </w:r>
      <m:oMath>
        <m:r>
          <m:rPr>
            <m:sty m:val="p"/>
          </m:rPr>
          <m:t>[</m:t>
        </m:r>
        <m:sSub>
          <m:e>
            <m:r>
              <m:t>M</m:t>
            </m:r>
          </m:e>
          <m:sub>
            <m:r>
              <m:t>e</m:t>
            </m:r>
          </m:sub>
        </m:sSub>
        <m:r>
          <m:rPr>
            <m:sty m:val="p"/>
          </m:rPr>
          <m:t>;</m:t>
        </m:r>
        <m:sSub>
          <m:e>
            <m:r>
              <m:t>Q</m:t>
            </m:r>
          </m:e>
          <m:sub>
            <m:r>
              <m:t>3</m:t>
            </m:r>
          </m:sub>
        </m:sSub>
      </m:oMath>
      <w:r>
        <w:t xml:space="preserve">. Il n’y a également aucune valeurs aberrantes. En effet, durant le nettoyage des données, une winsorization a été appliquée, qui consiste en ramener les valeurs aberrantes aux bornes inférieure (</w:t>
      </w:r>
      <m:oMath>
        <m:r>
          <m:t>Q</m:t>
        </m:r>
        <m:r>
          <m:t>1</m:t>
        </m:r>
        <m:r>
          <m:rPr>
            <m:sty m:val="p"/>
          </m:rPr>
          <m:t>−</m:t>
        </m:r>
        <m:r>
          <m:t>1</m:t>
        </m:r>
        <m:r>
          <m:rPr>
            <m:sty m:val="p"/>
          </m:rPr>
          <m:t>,</m:t>
        </m:r>
        <m:r>
          <m:t>5</m:t>
        </m:r>
        <m:r>
          <m:rPr>
            <m:sty m:val="p"/>
          </m:rPr>
          <m:t>×</m:t>
        </m:r>
        <m:d>
          <m:dPr>
            <m:begChr m:val="("/>
            <m:sepChr m:val=""/>
            <m:endChr m:val=")"/>
            <m:grow/>
          </m:dPr>
          <m:e>
            <m:sSub>
              <m:e>
                <m:r>
                  <m:t>Q</m:t>
                </m:r>
              </m:e>
              <m:sub>
                <m:r>
                  <m:t>3</m:t>
                </m:r>
              </m:sub>
            </m:sSub>
            <m:r>
              <m:rPr>
                <m:sty m:val="p"/>
              </m:rPr>
              <m:t>−</m:t>
            </m:r>
            <m:sSub>
              <m:e>
                <m:r>
                  <m:t>Q</m:t>
                </m:r>
              </m:e>
              <m:sub>
                <m:r>
                  <m:t>1</m:t>
                </m:r>
              </m:sub>
            </m:sSub>
          </m:e>
        </m:d>
      </m:oMath>
      <w:r>
        <w:t xml:space="preserve">) et supérieure (</w:t>
      </w:r>
      <m:oMath>
        <m:sSub>
          <m:e>
            <m:r>
              <m:t>Q</m:t>
            </m:r>
          </m:e>
          <m:sub>
            <m:r>
              <m:t>3</m:t>
            </m:r>
          </m:sub>
        </m:sSub>
        <m:r>
          <m:rPr>
            <m:sty m:val="p"/>
          </m:rPr>
          <m:t>+</m:t>
        </m:r>
        <m:r>
          <m:t>1</m:t>
        </m:r>
        <m:r>
          <m:rPr>
            <m:sty m:val="p"/>
          </m:rPr>
          <m:t>,</m:t>
        </m:r>
        <m:r>
          <m:t>5</m:t>
        </m:r>
        <m:r>
          <m:rPr>
            <m:sty m:val="p"/>
          </m:rPr>
          <m:t>×</m:t>
        </m:r>
        <m:d>
          <m:dPr>
            <m:begChr m:val="("/>
            <m:sepChr m:val=""/>
            <m:endChr m:val=")"/>
            <m:grow/>
          </m:dPr>
          <m:e>
            <m:sSub>
              <m:e>
                <m:r>
                  <m:t>Q</m:t>
                </m:r>
              </m:e>
              <m:sub>
                <m:r>
                  <m:t>3</m:t>
                </m:r>
              </m:sub>
            </m:sSub>
            <m:r>
              <m:rPr>
                <m:sty m:val="p"/>
              </m:rPr>
              <m:t>−</m:t>
            </m:r>
            <m:sSub>
              <m:e>
                <m:r>
                  <m:t>Q</m:t>
                </m:r>
              </m:e>
              <m:sub>
                <m:r>
                  <m:t>1</m:t>
                </m:r>
              </m:sub>
            </m:sSub>
          </m:e>
        </m:d>
      </m:oMath>
      <w:r>
        <w:t xml:space="preserve">).</w:t>
      </w:r>
    </w:p>
    <w:p>
      <w:pPr>
        <w:pStyle w:val="Corpsdetexte"/>
      </w:pPr>
      <w:r>
        <w:drawing>
          <wp:inline>
            <wp:extent cx="4620126" cy="3234088"/>
            <wp:effectExtent b="0" l="0" r="0" t="0"/>
            <wp:docPr descr="" title="" id="38" name="Picture"/>
            <a:graphic>
              <a:graphicData uri="http://schemas.openxmlformats.org/drawingml/2006/picture">
                <pic:pic>
                  <pic:nvPicPr>
                    <pic:cNvPr descr="Rapport_files/figure-docx/unnamed-chunk-14-1.png" id="39" name="Picture"/>
                    <pic:cNvPicPr>
                      <a:picLocks noChangeArrowheads="1" noChangeAspect="1"/>
                    </pic:cNvPicPr>
                  </pic:nvPicPr>
                  <pic:blipFill>
                    <a:blip r:embed="rId37"/>
                    <a:stretch>
                      <a:fillRect/>
                    </a:stretch>
                  </pic:blipFill>
                  <pic:spPr bwMode="auto">
                    <a:xfrm>
                      <a:off x="0" y="0"/>
                      <a:ext cx="4620126" cy="3234088"/>
                    </a:xfrm>
                    <a:prstGeom prst="rect">
                      <a:avLst/>
                    </a:prstGeom>
                    <a:noFill/>
                    <a:ln w="9525">
                      <a:noFill/>
                      <a:headEnd/>
                      <a:tailEnd/>
                    </a:ln>
                  </pic:spPr>
                </pic:pic>
              </a:graphicData>
            </a:graphic>
          </wp:inline>
        </w:drawing>
      </w:r>
    </w:p>
    <w:bookmarkEnd w:id="40"/>
    <w:bookmarkStart w:id="41" w:name="Xd6a08d3540901fd8e030e32f52f2e8df8c4ddef"/>
    <w:p>
      <w:pPr>
        <w:pStyle w:val="Titre2"/>
      </w:pPr>
      <w:r>
        <w:t xml:space="preserve">2.b.Caractéristiques de tendance centrale et de dispersion</w:t>
      </w:r>
    </w:p>
    <w:p>
      <w:pPr>
        <w:pStyle w:val="FirstParagraph"/>
      </w:pPr>
      <w:r>
        <w:t xml:space="preserve">Le tableau ci-dessous permet de remarque qu’environ un quart des membres des ménages nigérians ont un âge d’au plus 8 ans. Quant à l’âge médian, s’établissant à 17 ans, il signifie que la moitié de la population nigérianne à moins de 17 ans. Et un quart des nigérians ont plus de 35 ans. Ces quartiles permettent de conclure que l’intervalle interquartile est</w:t>
      </w:r>
      <w:r>
        <w:t xml:space="preserve"> </w:t>
      </w:r>
      <m:oMath>
        <m:d>
          <m:dPr>
            <m:begChr m:val="["/>
            <m:sepChr m:val=""/>
            <m:endChr m:val="]"/>
            <m:grow/>
          </m:dPr>
          <m:e>
            <m:r>
              <m:t>8</m:t>
            </m:r>
            <m:r>
              <m:rPr>
                <m:sty m:val="p"/>
              </m:rPr>
              <m:t>;</m:t>
            </m:r>
            <m:r>
              <m:t>35</m:t>
            </m:r>
          </m:e>
        </m:d>
      </m:oMath>
      <w:r>
        <w:t xml:space="preserve"> </w:t>
      </w:r>
      <w:r>
        <w:t xml:space="preserve">signifiant que la moitié de la population nigérianne a entre 8 et 35 ans.</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Quartiles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Quartile</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Valeur</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Q1 (25%)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Q2 (50%)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Q3 (75%)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w:t>
            </w:r>
          </w:p>
        </w:tc>
      </w:tr>
    </w:tbl>
    <w:p>
      <w:pPr>
        <w:pStyle w:val="SourceCode"/>
      </w:pPr>
      <w:r>
        <w:rPr>
          <w:rStyle w:val="VerbatimChar"/>
        </w:rPr>
        <w:t xml:space="preserve">## Moyenne : 23,58</w:t>
      </w:r>
    </w:p>
    <w:p>
      <w:pPr>
        <w:pStyle w:val="SourceCode"/>
      </w:pPr>
      <w:r>
        <w:rPr>
          <w:rStyle w:val="VerbatimChar"/>
        </w:rPr>
        <w:t xml:space="preserve">## Coefficient de variation : 0,81</w:t>
      </w:r>
    </w:p>
    <w:p>
      <w:pPr>
        <w:pStyle w:val="FirstParagraph"/>
      </w:pPr>
      <w:r>
        <w:t xml:space="preserve">L’âge moyen d’un nigérian est de 23,58 ans, ce qui est au dessus de l’age médian de près de 7 ans. Cela pouvant s’expliquer par la distribution oblique à gauche. Le coefficient de variation s’élève quant à lui à 0,81, nous avons</w:t>
      </w:r>
      <w:r>
        <w:t xml:space="preserve"> </w:t>
      </w:r>
      <m:oMath>
        <m:r>
          <m:t>C</m:t>
        </m:r>
        <m:r>
          <m:t>V</m:t>
        </m:r>
        <m:r>
          <m:rPr>
            <m:sty m:val="p"/>
          </m:rPr>
          <m:t>&gt;</m:t>
        </m:r>
        <m:f>
          <m:fPr>
            <m:type m:val="bar"/>
          </m:fPr>
          <m:num>
            <m:r>
              <m:t>1</m:t>
            </m:r>
          </m:num>
          <m:den>
            <m:r>
              <m:t>3</m:t>
            </m:r>
          </m:den>
        </m:f>
      </m:oMath>
      <w:r>
        <w:t xml:space="preserve">, donc la distribution est hétérogène.</w:t>
      </w:r>
    </w:p>
    <w:bookmarkEnd w:id="41"/>
    <w:bookmarkStart w:id="47" w:name="c.-normalité"/>
    <w:p>
      <w:pPr>
        <w:pStyle w:val="Titre2"/>
      </w:pPr>
      <w:r>
        <w:t xml:space="preserve">2.c. Normalité</w:t>
      </w:r>
    </w:p>
    <w:p>
      <w:pPr>
        <w:pStyle w:val="FirstParagraph"/>
      </w:pPr>
      <w:r>
        <w:t xml:space="preserve">Nous effectuerons le tests de normalité sans les poids.</w:t>
      </w:r>
    </w:p>
    <w:bookmarkStart w:id="45" w:name="i.-diagramme-quantile-quantile"/>
    <w:p>
      <w:pPr>
        <w:pStyle w:val="Titre3"/>
      </w:pPr>
      <w:r>
        <w:t xml:space="preserve">i. Diagramme quantile-quantile</w:t>
      </w:r>
    </w:p>
    <w:p>
      <w:pPr>
        <w:pStyle w:val="FirstParagraph"/>
      </w:pPr>
      <w:r>
        <w:t xml:space="preserve">Le diagramme quantile-quantile (appelé Q-Q plot en anglais) est un graphique permettant de juger de la normalité d’une variable. Le graphique compare les quantiles des données observées aux quantiles de notre distribution théorique (distribution normale). Nous avons ainsi en abscisse les quantiles théoriques de la loi normale et en ordonnée ceux issus des données réelles.</w:t>
      </w:r>
    </w:p>
    <w:p>
      <w:pPr>
        <w:pStyle w:val="Corpsdetexte"/>
      </w:pPr>
      <w:r>
        <w:t xml:space="preserve">Si les données suivent de près la distribution théorique, les points du graphique Q-Q se déplacent sur une ligne diagonale. Les écarts par rapport à cette ligne indiquent des écarts par rapport à la distribution attendue. Les points situés au-dessus ou au-dessous de la ligne indiquent une asymétrie ou des valeurs aberrantes, et les motifs tels que les courbes ou les écarts en forme de S indiquent une distribution non normale. Pour notre cas, les données s’écartent de la diagonale et forment un</w:t>
      </w:r>
      <w:r>
        <w:t xml:space="preserve"> </w:t>
      </w:r>
      <w:r>
        <w:t xml:space="preserve">“S”</w:t>
      </w:r>
      <w:r>
        <w:t xml:space="preserve">, donc nous pouvons dès lors soupçonner que la variable ne suit pas une loi normale.</w:t>
      </w:r>
    </w:p>
    <w:p>
      <w:pPr>
        <w:pStyle w:val="Corpsdetexte"/>
      </w:pPr>
      <w:r>
        <w:drawing>
          <wp:inline>
            <wp:extent cx="4620126" cy="2772075"/>
            <wp:effectExtent b="0" l="0" r="0" t="0"/>
            <wp:docPr descr="" title="" id="43" name="Picture"/>
            <a:graphic>
              <a:graphicData uri="http://schemas.openxmlformats.org/drawingml/2006/picture">
                <pic:pic>
                  <pic:nvPicPr>
                    <pic:cNvPr descr="Rapport_files/figure-docx/unnamed-chunk-17-1.png" id="44" name="Picture"/>
                    <pic:cNvPicPr>
                      <a:picLocks noChangeArrowheads="1" noChangeAspect="1"/>
                    </pic:cNvPicPr>
                  </pic:nvPicPr>
                  <pic:blipFill>
                    <a:blip r:embed="rId42"/>
                    <a:stretch>
                      <a:fillRect/>
                    </a:stretch>
                  </pic:blipFill>
                  <pic:spPr bwMode="auto">
                    <a:xfrm>
                      <a:off x="0" y="0"/>
                      <a:ext cx="4620126" cy="2772075"/>
                    </a:xfrm>
                    <a:prstGeom prst="rect">
                      <a:avLst/>
                    </a:prstGeom>
                    <a:noFill/>
                    <a:ln w="9525">
                      <a:noFill/>
                      <a:headEnd/>
                      <a:tailEnd/>
                    </a:ln>
                  </pic:spPr>
                </pic:pic>
              </a:graphicData>
            </a:graphic>
          </wp:inline>
        </w:drawing>
      </w:r>
    </w:p>
    <w:bookmarkEnd w:id="45"/>
    <w:bookmarkStart w:id="46" w:name="ii.-test-de-shapiro-wilks"/>
    <w:p>
      <w:pPr>
        <w:pStyle w:val="Titre3"/>
      </w:pPr>
      <w:r>
        <w:t xml:space="preserve">ii. Test de Shapiro-Wilks</w:t>
      </w:r>
    </w:p>
    <w:p>
      <w:pPr>
        <w:pStyle w:val="FirstParagraph"/>
      </w:pPr>
      <w:r>
        <w:t xml:space="preserve">Le test de Shapiro-Wilks nous permettra de conclure formellement sur la normalité de notre variable d’intérêt. Cependant, le logiciel</w:t>
      </w:r>
      <w:r>
        <w:t xml:space="preserve"> </w:t>
      </w:r>
      <w:r>
        <w:rPr>
          <w:rStyle w:val="VerbatimChar"/>
        </w:rPr>
        <w:t xml:space="preserve">R</w:t>
      </w:r>
      <w:r>
        <w:t xml:space="preserve"> </w:t>
      </w:r>
      <w:r>
        <w:t xml:space="preserve">ne supporte pas le test pour des échantillons de plus de 5000 observations, ce qui est notre cas. Nous tirerons donc aléatoirement un échantillon de 5000 individus. Avec</w:t>
      </w:r>
      <w:r>
        <w:t xml:space="preserve"> </w:t>
      </w:r>
      <w:r>
        <w:rPr>
          <w:rStyle w:val="VerbatimChar"/>
        </w:rPr>
        <w:t xml:space="preserve">set_seed(123)</w:t>
      </w:r>
      <w:r>
        <w:t xml:space="preserve">, nous</w:t>
      </w:r>
      <w:r>
        <w:t xml:space="preserve"> </w:t>
      </w:r>
      <w:r>
        <w:t xml:space="preserve">“fixons”</w:t>
      </w:r>
      <w:r>
        <w:t xml:space="preserve"> </w:t>
      </w:r>
      <w:r>
        <w:t xml:space="preserve">l’aléatoire pour empêcher que les résultats ne diffèrent entre chaque exécution.</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Test de Shapiro-Wilk</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end"/>
            </w:pPr>
            <w:r>
              <w:rPr>
                <w:rFonts w:ascii="Calibri" w:hAnsi="Calibri"/>
                <w:sz w:val="20"/>
              </w:rPr>
              <w:t xml:space="default">Taille de l'échantillon (N)</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Statistique de test</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0,9014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5,58e-49</w:t>
            </w:r>
          </w:p>
        </w:tc>
      </w:tr>
    </w:tbl>
    <w:p>
      <w:pPr>
        <w:pStyle w:val="Corpsdetexte"/>
      </w:pPr>
      <w:r>
        <w:t xml:space="preserve">Le p-value étant proche de 0 (5,58e-49), donc inférieure à 0,05, nous pouvons rejetter l’hypothèse de normalité au seuil de 5%.</w:t>
      </w:r>
    </w:p>
    <w:bookmarkEnd w:id="46"/>
    <w:bookmarkEnd w:id="47"/>
    <w:bookmarkEnd w:id="48"/>
    <w:bookmarkStart w:id="52" w:name="Xf7970eec9ef0710229bf907f9f2056d1d18bae0"/>
    <w:p>
      <w:pPr>
        <w:pStyle w:val="Titre1"/>
      </w:pPr>
      <w:r>
        <w:t xml:space="preserve">3. Pyramide des âges (groupes de 5 ans) par sexe pour la vague 4 (package apyramid ou ggplot2 + coord_flip). Commenter la structure d’ensemble.</w:t>
      </w:r>
    </w:p>
    <w:p>
      <w:pPr>
        <w:pStyle w:val="FirstParagraph"/>
      </w:pPr>
      <w:r>
        <w:t xml:space="preserve">Les tranches d’âge inférieures à 20 ans concentrent près de la moitié de la population totale. Les 5-9 ans constituent le mode de cette distribution, atteignant 8,7% chez les hommes et 8,1% chez les femmes. Notre pyramide des âges est de type progressive, le nombre de personnes dans les intervalles diminue à mesure que l’âge augmente. Il s’agit d’une structure pyramidale typique pour les pays en développement. La cause de cette structure pourrait être la conséquence de taux de natalité élevés et d’un taux mortalité augmentant avec l’âge</w:t>
      </w:r>
      <w:r>
        <w:t xml:space="preserve"> </w:t>
      </w:r>
      <w:r>
        <w:t xml:space="preserve">Le sommet est effilé au-delà de 60 ans, les effectifs deviennent très faibles, aucune tranche ne dépassant 1,5% de la population totale. Cela reflète une espérance de vie encore modeste.</w:t>
      </w:r>
    </w:p>
    <w:p>
      <w:pPr>
        <w:pStyle w:val="Corpsdetexte"/>
      </w:pPr>
      <w:r>
        <w:drawing>
          <wp:inline>
            <wp:extent cx="4620126" cy="3696101"/>
            <wp:effectExtent b="0" l="0" r="0" t="0"/>
            <wp:docPr descr="" title="" id="50" name="Picture"/>
            <a:graphic>
              <a:graphicData uri="http://schemas.openxmlformats.org/drawingml/2006/picture">
                <pic:pic>
                  <pic:nvPicPr>
                    <pic:cNvPr descr="Rapport_files/figure-docx/unnamed-chunk-19-1.png" id="51" name="Picture"/>
                    <pic:cNvPicPr>
                      <a:picLocks noChangeArrowheads="1" noChangeAspect="1"/>
                    </pic:cNvPicPr>
                  </pic:nvPicPr>
                  <pic:blipFill>
                    <a:blip r:embed="rId49"/>
                    <a:stretch>
                      <a:fillRect/>
                    </a:stretch>
                  </pic:blipFill>
                  <pic:spPr bwMode="auto">
                    <a:xfrm>
                      <a:off x="0" y="0"/>
                      <a:ext cx="4620126" cy="3696101"/>
                    </a:xfrm>
                    <a:prstGeom prst="rect">
                      <a:avLst/>
                    </a:prstGeom>
                    <a:noFill/>
                    <a:ln w="9525">
                      <a:noFill/>
                      <a:headEnd/>
                      <a:tailEnd/>
                    </a:ln>
                  </pic:spPr>
                </pic:pic>
              </a:graphicData>
            </a:graphic>
          </wp:inline>
        </w:drawing>
      </w:r>
    </w:p>
    <w:bookmarkEnd w:id="52"/>
    <w:bookmarkStart w:id="56" w:name="Xfb05da01934fe665183f2826ba5a69f25810d5c"/>
    <w:p>
      <w:pPr>
        <w:pStyle w:val="Titre1"/>
      </w:pPr>
      <w:r>
        <w:t xml:space="preserve">4. Fréquences du lien de parenté (chef de ménage, conjoint, enfant, autre): diagramme en barres horizontales ordonné par fréquence. Calculer les proportions avec IC à 95% (package PropCIs ou binom.test).</w:t>
      </w:r>
    </w:p>
    <w:p>
      <w:pPr>
        <w:pStyle w:val="FirstParagraph"/>
      </w:pPr>
      <w:r>
        <w:t xml:space="preserve">La majorité des membres de ménages sont des enfants du chef de ménage. En effet, ils représentent 55,6% des membres de ménages nigérians. Les chefs de ménage quant à eux constituent 18,9% des membres, tandis que leurs conjoints(es) en représentent 16,3%. Ces trois catégories regroupent à elles seules 90,8% des membres des ménages.</w:t>
      </w:r>
    </w:p>
    <w:p>
      <w:pPr>
        <w:pStyle w:val="Corpsdetexte"/>
      </w:pPr>
      <w:r>
        <w:drawing>
          <wp:inline>
            <wp:extent cx="4620126" cy="3234088"/>
            <wp:effectExtent b="0" l="0" r="0" t="0"/>
            <wp:docPr descr="" title="" id="54" name="Picture"/>
            <a:graphic>
              <a:graphicData uri="http://schemas.openxmlformats.org/drawingml/2006/picture">
                <pic:pic>
                  <pic:nvPicPr>
                    <pic:cNvPr descr="Rapport_files/figure-docx/unnamed-chunk-21-1.png" id="55" name="Picture"/>
                    <pic:cNvPicPr>
                      <a:picLocks noChangeArrowheads="1" noChangeAspect="1"/>
                    </pic:cNvPicPr>
                  </pic:nvPicPr>
                  <pic:blipFill>
                    <a:blip r:embed="rId53"/>
                    <a:stretch>
                      <a:fillRect/>
                    </a:stretch>
                  </pic:blipFill>
                  <pic:spPr bwMode="auto">
                    <a:xfrm>
                      <a:off x="0" y="0"/>
                      <a:ext cx="4620126" cy="3234088"/>
                    </a:xfrm>
                    <a:prstGeom prst="rect">
                      <a:avLst/>
                    </a:prstGeom>
                    <a:noFill/>
                    <a:ln w="9525">
                      <a:noFill/>
                      <a:headEnd/>
                      <a:tailEnd/>
                    </a:ln>
                  </pic:spPr>
                </pic:pic>
              </a:graphicData>
            </a:graphic>
          </wp:inline>
        </w:drawing>
      </w:r>
    </w:p>
    <w:bookmarkEnd w:id="56"/>
    <w:bookmarkStart w:id="60" w:name="X719d394d704cfabf5706db51da37dbe6d3750b1"/>
    <w:p>
      <w:pPr>
        <w:pStyle w:val="Titre1"/>
      </w:pPr>
      <w:r>
        <w:t xml:space="preserve">5. Comparer la taille moyenne des ménages entre zones rurales et urbaines (variable zone dans secta): boxplot groupé + test de Wilcoxon-Mann-Whitney. Interpréter la taille d’effet (r de rang).</w:t>
      </w:r>
    </w:p>
    <w:p>
      <w:pPr>
        <w:pStyle w:val="FirstParagraph"/>
      </w:pPr>
      <w:r>
        <w:t xml:space="preserve">Nous constatons que la taille des ménages est moins élevée en milieu urbain et rural. En effet, les ménages nigérians résidant en milieu rural ont une taille médiane de 5 personnes tandis qu’en milieu rural la taille est de 4. De plus, grâce aux intervales interquartiles, nous pouvons constater 50% des ménages ruraux ont une taille comprise entre 3 et 8 tandis que les ménages urbains abritent entre 2 et 6.</w:t>
      </w:r>
      <w:r>
        <w:t xml:space="preserve"> </w:t>
      </w:r>
      <w:r>
        <w:drawing>
          <wp:inline>
            <wp:extent cx="4620126" cy="2772075"/>
            <wp:effectExtent b="0" l="0" r="0" t="0"/>
            <wp:docPr descr="" title="" id="58" name="Picture"/>
            <a:graphic>
              <a:graphicData uri="http://schemas.openxmlformats.org/drawingml/2006/picture">
                <pic:pic>
                  <pic:nvPicPr>
                    <pic:cNvPr descr="Rapport_files/figure-docx/unnamed-chunk-23-1.png" id="59" name="Picture"/>
                    <pic:cNvPicPr>
                      <a:picLocks noChangeArrowheads="1" noChangeAspect="1"/>
                    </pic:cNvPicPr>
                  </pic:nvPicPr>
                  <pic:blipFill>
                    <a:blip r:embed="rId57"/>
                    <a:stretch>
                      <a:fillRect/>
                    </a:stretch>
                  </pic:blipFill>
                  <pic:spPr bwMode="auto">
                    <a:xfrm>
                      <a:off x="0" y="0"/>
                      <a:ext cx="4620126" cy="2772075"/>
                    </a:xfrm>
                    <a:prstGeom prst="rect">
                      <a:avLst/>
                    </a:prstGeom>
                    <a:noFill/>
                    <a:ln w="9525">
                      <a:noFill/>
                      <a:headEnd/>
                      <a:tailEnd/>
                    </a:ln>
                  </pic:spPr>
                </pic:pic>
              </a:graphicData>
            </a:graphic>
          </wp:inline>
        </w:drawing>
      </w:r>
      <w:r>
        <w:t xml:space="preserve"> </w:t>
      </w:r>
      <w:r>
        <w:t xml:space="preserve">Le test de Mann-Whitney-Wilcoxon est un test non paramétrique qui compare les distributions de deux groupes indépendants, ici la taille des ménages ruraux et urbains. Il ne suppose pas la normalité des données.</w:t>
      </w:r>
      <w:r>
        <w:t xml:space="preserve"> </w:t>
      </w:r>
      <w:r>
        <w:t xml:space="preserve">L’hypothèse nulle</w:t>
      </w:r>
      <w:r>
        <w:t xml:space="preserve"> </w:t>
      </w:r>
      <m:oMath>
        <m:sSub>
          <m:e>
            <m:r>
              <m:t>H</m:t>
            </m:r>
          </m:e>
          <m:sub>
            <m:r>
              <m:t>0</m:t>
            </m:r>
          </m:sub>
        </m:sSub>
      </m:oMath>
      <w:r>
        <w:t xml:space="preserve"> </w:t>
      </w:r>
      <w:r>
        <w:t xml:space="preserve">est que les deux distributions sont identiques (pas de différence selon le milieu de résidence), contre</w:t>
      </w:r>
      <w:r>
        <w:t xml:space="preserve"> </w:t>
      </w:r>
      <m:oMath>
        <m:sSub>
          <m:e>
            <m:r>
              <m:t>H</m:t>
            </m:r>
          </m:e>
          <m:sub>
            <m:r>
              <m:t>1</m:t>
            </m:r>
          </m:sub>
        </m:sSub>
      </m:oMath>
      <w:r>
        <w:t xml:space="preserve"> </w:t>
      </w:r>
      <w:r>
        <w:t xml:space="preserve">qu’il existe une différence.</w:t>
      </w:r>
      <w:r>
        <w:t xml:space="preserve"> </w:t>
      </w:r>
      <w:r>
        <w:t xml:space="preserve">Quant à la taille d’effet</w:t>
      </w:r>
      <w:r>
        <w:t xml:space="preserve"> </w:t>
      </w:r>
      <m:oMath>
        <m:r>
          <m:t>r</m:t>
        </m:r>
      </m:oMath>
      <w:r>
        <w:t xml:space="preserve"> </w:t>
      </w:r>
      <w:r>
        <w:t xml:space="preserve">de Rosenthal, elle mesure l’ampleur pratique de la différence entre les deux groupes, indépendamment de la taille de l’échantillon.</w:t>
      </w:r>
      <w:r>
        <w:t xml:space="preserve"> </w:t>
      </w:r>
      <w:r>
        <w:t xml:space="preserve">Elle est définie comme :</w:t>
      </w:r>
    </w:p>
    <w:p>
      <w:pPr>
        <w:pStyle w:val="Corpsdetexte"/>
      </w:pPr>
      <m:oMathPara>
        <m:oMathParaPr>
          <m:jc m:val="center"/>
        </m:oMathParaPr>
        <m:oMath>
          <m:r>
            <m:t>r</m:t>
          </m:r>
          <m:r>
            <m:rPr>
              <m:sty m:val="p"/>
            </m:rPr>
            <m:t>=</m:t>
          </m:r>
          <m:f>
            <m:fPr>
              <m:type m:val="bar"/>
            </m:fPr>
            <m:num>
              <m:r>
                <m:t>Z</m:t>
              </m:r>
            </m:num>
            <m:den>
              <m:rad>
                <m:radPr>
                  <m:degHide m:val="on"/>
                </m:radPr>
                <m:deg/>
                <m:e>
                  <m:r>
                    <m:t>N</m:t>
                  </m:r>
                </m:e>
              </m:rad>
            </m:den>
          </m:f>
        </m:oMath>
      </m:oMathPara>
    </w:p>
    <w:p>
      <w:pPr>
        <w:pStyle w:val="FirstParagraph"/>
      </w:pPr>
      <w:r>
        <w:t xml:space="preserve">où</w:t>
      </w:r>
      <w:r>
        <w:t xml:space="preserve"> </w:t>
      </w:r>
      <m:oMath>
        <m:r>
          <m:t>Z</m:t>
        </m:r>
      </m:oMath>
      <w:r>
        <w:t xml:space="preserve"> </w:t>
      </w:r>
      <w:r>
        <w:t xml:space="preserve">est la statistique de test standardisée et</w:t>
      </w:r>
      <w:r>
        <w:t xml:space="preserve"> </w:t>
      </w:r>
      <m:oMath>
        <m:r>
          <m:t>N</m:t>
        </m:r>
      </m:oMath>
      <w:r>
        <w:t xml:space="preserve"> </w:t>
      </w:r>
      <w:r>
        <w:t xml:space="preserve">le nombre total d’observations. Elle varie entre 0 et 1 et s’interprète selon les critères de Cohen (1988) :</w:t>
      </w:r>
    </w:p>
    <w:p>
      <w:pPr>
        <w:pStyle w:val="Compact"/>
        <w:numPr>
          <w:ilvl w:val="0"/>
          <w:numId w:val="1003"/>
        </w:numPr>
      </w:pPr>
      <m:oMath>
        <m:r>
          <m:t>r</m:t>
        </m:r>
        <m:r>
          <m:rPr>
            <m:sty m:val="p"/>
          </m:rPr>
          <m:t>&lt;</m:t>
        </m:r>
        <m:r>
          <m:t>0</m:t>
        </m:r>
        <m:r>
          <m:rPr>
            <m:sty m:val="p"/>
          </m:rPr>
          <m:t>,</m:t>
        </m:r>
        <m:r>
          <m:t>1</m:t>
        </m:r>
      </m:oMath>
      <w:r>
        <w:t xml:space="preserve"> </w:t>
      </w:r>
      <w:r>
        <w:t xml:space="preserve">: effet</w:t>
      </w:r>
      <w:r>
        <w:t xml:space="preserve"> </w:t>
      </w:r>
      <w:r>
        <w:rPr>
          <w:b/>
          <w:bCs/>
        </w:rPr>
        <w:t xml:space="preserve">négligeable</w:t>
      </w:r>
    </w:p>
    <w:p>
      <w:pPr>
        <w:pStyle w:val="Compact"/>
        <w:numPr>
          <w:ilvl w:val="0"/>
          <w:numId w:val="1003"/>
        </w:numPr>
      </w:pPr>
      <m:oMath>
        <m:r>
          <m:t>0</m:t>
        </m:r>
        <m:r>
          <m:rPr>
            <m:sty m:val="p"/>
          </m:rPr>
          <m:t>,</m:t>
        </m:r>
        <m:r>
          <m:t>1</m:t>
        </m:r>
        <m:r>
          <m:rPr>
            <m:sty m:val="p"/>
          </m:rPr>
          <m:t>≤</m:t>
        </m:r>
        <m:r>
          <m:t>r</m:t>
        </m:r>
        <m:r>
          <m:rPr>
            <m:sty m:val="p"/>
          </m:rPr>
          <m:t>&lt;</m:t>
        </m:r>
        <m:r>
          <m:t>0</m:t>
        </m:r>
        <m:r>
          <m:rPr>
            <m:sty m:val="p"/>
          </m:rPr>
          <m:t>,</m:t>
        </m:r>
        <m:r>
          <m:t>3</m:t>
        </m:r>
      </m:oMath>
      <w:r>
        <w:t xml:space="preserve"> </w:t>
      </w:r>
      <w:r>
        <w:t xml:space="preserve">: effet</w:t>
      </w:r>
      <w:r>
        <w:t xml:space="preserve"> </w:t>
      </w:r>
      <w:r>
        <w:rPr>
          <w:b/>
          <w:bCs/>
        </w:rPr>
        <w:t xml:space="preserve">faible</w:t>
      </w:r>
      <w:r>
        <w:br/>
      </w:r>
    </w:p>
    <w:p>
      <w:pPr>
        <w:pStyle w:val="Compact"/>
        <w:numPr>
          <w:ilvl w:val="0"/>
          <w:numId w:val="1003"/>
        </w:numPr>
      </w:pPr>
      <m:oMath>
        <m:r>
          <m:t>0</m:t>
        </m:r>
        <m:r>
          <m:rPr>
            <m:sty m:val="p"/>
          </m:rPr>
          <m:t>,</m:t>
        </m:r>
        <m:r>
          <m:t>3</m:t>
        </m:r>
        <m:r>
          <m:rPr>
            <m:sty m:val="p"/>
          </m:rPr>
          <m:t>≤</m:t>
        </m:r>
        <m:r>
          <m:t>r</m:t>
        </m:r>
        <m:r>
          <m:rPr>
            <m:sty m:val="p"/>
          </m:rPr>
          <m:t>&lt;</m:t>
        </m:r>
        <m:r>
          <m:t>0</m:t>
        </m:r>
        <m:r>
          <m:rPr>
            <m:sty m:val="p"/>
          </m:rPr>
          <m:t>,</m:t>
        </m:r>
        <m:r>
          <m:t>5</m:t>
        </m:r>
      </m:oMath>
      <w:r>
        <w:t xml:space="preserve"> </w:t>
      </w:r>
      <w:r>
        <w:t xml:space="preserve">: effet</w:t>
      </w:r>
      <w:r>
        <w:t xml:space="preserve"> </w:t>
      </w:r>
      <w:r>
        <w:rPr>
          <w:b/>
          <w:bCs/>
        </w:rPr>
        <w:t xml:space="preserve">modéré</w:t>
      </w:r>
    </w:p>
    <w:p>
      <w:pPr>
        <w:pStyle w:val="Compact"/>
        <w:numPr>
          <w:ilvl w:val="0"/>
          <w:numId w:val="1003"/>
        </w:numPr>
      </w:pPr>
      <m:oMath>
        <m:r>
          <m:t>r</m:t>
        </m:r>
        <m:r>
          <m:rPr>
            <m:sty m:val="p"/>
          </m:rPr>
          <m:t>≥</m:t>
        </m:r>
        <m:r>
          <m:t>0</m:t>
        </m:r>
        <m:r>
          <m:rPr>
            <m:sty m:val="p"/>
          </m:rPr>
          <m:t>,</m:t>
        </m:r>
        <m:r>
          <m:t>5</m:t>
        </m:r>
      </m:oMath>
      <w:r>
        <w:t xml:space="preserve"> </w:t>
      </w:r>
      <w:r>
        <w:t xml:space="preserve">: effet</w:t>
      </w:r>
      <w:r>
        <w:t xml:space="preserve"> </w:t>
      </w:r>
      <w:r>
        <w:rPr>
          <w:b/>
          <w:bCs/>
        </w:rPr>
        <w:t xml:space="preserve">fort</w:t>
      </w:r>
    </w:p>
    <w:p>
      <w:pPr>
        <w:pStyle w:val="FirstParagraph"/>
      </w:pPr>
      <w:r>
        <w:t xml:space="preserve">Comme pour les autres tests, nous n’utiliserons pas les pondérations :</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Test de Mann-Whitney-Wilcoxon</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end"/>
            </w:pPr>
            <w:r>
              <w:rPr>
                <w:rFonts w:ascii="Calibri" w:hAnsi="Calibri"/>
                <w:sz w:val="20"/>
              </w:rPr>
              <w:t xml:space="default">Statistique W</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p-value</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Taille d'effet (r)</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2287892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1,68e-17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0,121</w:t>
            </w:r>
          </w:p>
        </w:tc>
      </w:tr>
    </w:tbl>
    <w:p>
      <w:pPr>
        <w:pStyle w:val="Corpsdetexte"/>
      </w:pPr>
      <w:r>
        <w:t xml:space="preserve">Avec une p-value de 1,68e-17, très largement inférieure au seuil de 5%, conduit au rejet de l’hypothèse nulle. Il existe donc une différence statistiquement significative entre la taille des ménages ruraux et urbains. Cependant, la taille d’effet</w:t>
      </w:r>
      <w:r>
        <w:t xml:space="preserve"> </w:t>
      </w:r>
      <m:oMath>
        <m:r>
          <m:t>r</m:t>
        </m:r>
        <m:r>
          <m:rPr>
            <m:sty m:val="p"/>
          </m:rPr>
          <m:t>=</m:t>
        </m:r>
      </m:oMath>
      <w:r>
        <w:t xml:space="preserve"> </w:t>
      </w:r>
      <w:r>
        <w:t xml:space="preserve">0,121 est faible</w:t>
      </w:r>
      <w:r>
        <w:t xml:space="preserve"> </w:t>
      </w:r>
      <w:r>
        <w:t xml:space="preserve">selon les critères de Cohen, ce qui signifie que bien que la différence soit statistiquement significative, elle reste faible.</w:t>
      </w:r>
    </w:p>
    <w:bookmarkEnd w:id="60"/>
    <w:bookmarkStart w:id="61" w:name="X21658969e2a747bcfdc80c7cb25bf35ed100aea"/>
    <w:p>
      <w:pPr>
        <w:pStyle w:val="Titre1"/>
      </w:pPr>
      <w:r>
        <w:t xml:space="preserve">6. Tableau récapitulatif gtsummary stratifié par zone (rural/urbain) pour l’âge, le sexe et la taille du ménage, avec p-valeurs des tests de comparaison.</w:t>
      </w:r>
    </w:p>
    <w:p>
      <w:pPr>
        <w:pStyle w:val="FirstParagraph"/>
      </w:pPr>
      <w:r>
        <w:t xml:space="preserve">La tableau ci-dessous nous permet de constater que la majorité des</w:t>
      </w:r>
      <w:r>
        <w:t xml:space="preserve"> </w:t>
      </w:r>
      <w:r>
        <w:t xml:space="preserve">La répartition par sexe est quasi-équilibrée entre hommes (49,7%) et femmes (50,3%) au niveau national. Il n’y a également aucune différence significative entre milieu urbain et rural (p = 0,8).</w:t>
      </w:r>
      <w:r>
        <w:t xml:space="preserve"> </w:t>
      </w:r>
      <w:r>
        <w:t xml:space="preserve">L’âge moyen des membres des ménages est de 23,6 ans au niveau national. Les membres des ménages urbains sont légèrement plus âgés (24,9 ans) que ceux des ménages ruraux (23,1 ans). Cette différence est statistiquement significative (p = 0,007).</w:t>
      </w:r>
      <w:r>
        <w:t xml:space="preserve"> </w:t>
      </w:r>
      <w:r>
        <w:t xml:space="preserve">Quant à la taille, les ménages ruraux sont en moyenne plus grands (7,9 membres) que les ménages urbains (6,5 membres), avec une moyenne nationale de 7,5 membres. Cette différence est également statistiquement significative (p = 0,003).</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Variable</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N</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Overall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164 848 326</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Urbain</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45 081 762</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Rural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119 766 564</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Sexe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164 848 326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i/>
              </w:rPr>
              <w:t xml:space="default">    Homme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81 938 346 (49,7%)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22 480 517 (49,9%)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59 457 828 (49,6%)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i/>
              </w:rPr>
              <w:t xml:space="default">    Femme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82 909 980 (50,3%)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22 601 245 (50,1%)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60 308 735 (50,4%)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Âge (années)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164 848 326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Taille du ménage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164 848 326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0,003</w:t>
            </w:r>
          </w:p>
        </w:tc>
      </w:tr>
      <w:tr>
        <w:trPr>
          <w:cantSplit/>
        </w:trPr>
        <w:tc>
          <w:tcPr>
            <w:gridSpan w:val="6"/>
          </w:tcPr>
          <w:p>
            <w:pPr>
              <w:spacing w:before="0" w:after="60"/>
              <w:keepNext/>
            </w:pPr>
            <w:r>
              <w:rPr>
                <w:vertAlign w:val="superscript"/>
                <w:i/>
                <w:rFonts w:ascii="Calibri" w:hAnsi="Calibri"/>
                <w:sz w:val="20"/>
              </w:rPr>
              <w:t xml:space="default">1</w:t>
            </w:r>
            <w:r>
              <w:rPr>
                <w:rFonts w:ascii="Calibri" w:hAnsi="Calibri"/>
                <w:sz w:val="20"/>
              </w:rPr>
              <w:t xml:space="preserve">n (%); Mean</w:t>
            </w:r>
          </w:p>
        </w:tc>
      </w:tr>
      <w:tr>
        <w:trPr>
          <w:cantSplit/>
        </w:trPr>
        <w:tc>
          <w:tcPr>
            <w:gridSpan w:val="6"/>
          </w:tcPr>
          <w:p>
            <w:pPr>
              <w:spacing w:before="0" w:after="60"/>
              <w:keepNext/>
            </w:pPr>
            <w:r>
              <w:rPr>
                <w:vertAlign w:val="superscript"/>
                <w:i/>
                <w:rFonts w:ascii="Calibri" w:hAnsi="Calibri"/>
                <w:sz w:val="20"/>
              </w:rPr>
              <w:t xml:space="default">2</w:t>
            </w:r>
            <w:r>
              <w:rPr>
                <w:rFonts w:ascii="Calibri" w:hAnsi="Calibri"/>
                <w:sz w:val="20"/>
              </w:rPr>
              <w:t xml:space="preserve">Pearson's X^2: Rao &amp; Scott adjustment; Design-based t-test</w:t>
            </w:r>
          </w:p>
        </w:tc>
      </w:tr>
    </w:tbl>
    <w:bookmarkEnd w:id="61"/>
    <w:bookmarkStart w:id="62" w:name="références"/>
    <w:p>
      <w:pPr>
        <w:pStyle w:val="Titre1"/>
      </w:pPr>
      <w:r>
        <w:t xml:space="preserve">Références</w:t>
      </w:r>
    </w:p>
    <w:p>
      <w:pPr>
        <w:numPr>
          <w:ilvl w:val="0"/>
          <w:numId w:val="1004"/>
        </w:numPr>
      </w:pPr>
      <w:r>
        <w:t xml:space="preserve">Federal Republic of Nigeria, National Bureau of Statistics (2012).</w:t>
      </w:r>
      <w:r>
        <w:t xml:space="preserve"> </w:t>
      </w:r>
      <w:r>
        <w:rPr>
          <w:i/>
          <w:iCs/>
        </w:rPr>
        <w:t xml:space="preserve">Basic Information Document — Nigeria General Household Survey Panel</w:t>
      </w:r>
      <w:r>
        <w:t xml:space="preserve">.</w:t>
      </w:r>
      <w:r>
        <w:t xml:space="preserve"> </w:t>
      </w:r>
      <w:r>
        <w:t xml:space="preserve">Mars 2012.</w:t>
      </w:r>
      <w:r>
        <w:t xml:space="preserve"> </w:t>
      </w:r>
      <w:hyperlink r:id="rId24">
        <w:r>
          <w:rPr>
            <w:rStyle w:val="Lienhypertexte"/>
          </w:rPr>
          <w:t xml:space="preserve">Accès au document</w:t>
        </w:r>
      </w:hyperlink>
    </w:p>
    <w:p>
      <w:pPr>
        <w:numPr>
          <w:ilvl w:val="0"/>
          <w:numId w:val="1004"/>
        </w:numPr>
      </w:pPr>
      <w:r>
        <w:t xml:space="preserve">Nations Unies, Département des affaires économiques et sociales,</w:t>
      </w:r>
      <w:r>
        <w:t xml:space="preserve"> </w:t>
      </w:r>
      <w:r>
        <w:t xml:space="preserve">Division de statistique (2010).</w:t>
      </w:r>
      <w:r>
        <w:t xml:space="preserve"> </w:t>
      </w:r>
      <w:r>
        <w:rPr>
          <w:i/>
          <w:iCs/>
        </w:rPr>
        <w:t xml:space="preserve">Guide pratique pour la conception</w:t>
      </w:r>
      <w:r>
        <w:rPr>
          <w:i/>
          <w:iCs/>
        </w:rPr>
        <w:t xml:space="preserve"> </w:t>
      </w:r>
      <w:r>
        <w:rPr>
          <w:i/>
          <w:iCs/>
        </w:rPr>
        <w:t xml:space="preserve">d’enquêtes sur les ménages.</w:t>
      </w:r>
      <w:r>
        <w:t xml:space="preserve"> </w:t>
      </w:r>
      <w:r>
        <w:t xml:space="preserve">Études méthodologiques, Série F, N° 98.</w:t>
      </w:r>
      <w:r>
        <w:t xml:space="preserve"> </w:t>
      </w:r>
      <w:r>
        <w:t xml:space="preserve">New York : Nations Unies.</w:t>
      </w:r>
      <w:r>
        <w:t xml:space="preserve"> </w:t>
      </w:r>
      <w:hyperlink r:id="rId21">
        <w:r>
          <w:rPr>
            <w:rStyle w:val="Lienhypertexte"/>
          </w:rPr>
          <w:t xml:space="preserve">Accès au document</w:t>
        </w:r>
      </w:hyperlink>
    </w:p>
    <w:bookmarkEnd w:id="62"/>
    <w:sectPr w:rsidR="00597108">
      <w:pgSz w:h="15840" w:w="12240"/>
      <w:pgMar w:bottom="1417" w:footer="720" w:gutter="0" w:header="720" w:left="1417" w:right="1417" w:top="1417"/>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BEB26DDE"/>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764574855" w:numId="1">
    <w:abstractNumId w:val="0"/>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597108"/>
    <w:rsid w:val="00066D0A"/>
    <w:rsid w:val="004967D4"/>
    <w:rsid w:val="00597108"/>
    <w:rsid w:val="008E7D97"/>
    <w:rsid w:val="00963BFA"/>
    <w:rsid w:val="0099214B"/>
    <w:rsid w:val="00B42A3B"/>
    <w:rsid w:val="00EE27A7"/>
    <w:rsid w:val="00F435CD"/>
    <w:rsid w:val="00F62629"/>
    <w:rsid w:val="00FE60DD"/>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F435CD"/>
    <w:pPr>
      <w:jc w:val="both"/>
    </w:pPr>
    <w:rPr>
      <w:rFonts w:ascii="Arial" w:hAnsi="Arial"/>
      <w:sz w:val="22"/>
    </w:rPr>
  </w:style>
  <w:style w:styleId="Titre1" w:type="paragraph">
    <w:name w:val="heading 1"/>
    <w:basedOn w:val="Normal"/>
    <w:next w:val="Corpsdetexte"/>
    <w:link w:val="Titre1Car"/>
    <w:uiPriority w:val="9"/>
    <w:qFormat/>
    <w:rsid w:val="004967D4"/>
    <w:pPr>
      <w:keepNext/>
      <w:keepLines/>
      <w:spacing w:after="80" w:before="360"/>
      <w:jc w:val="left"/>
      <w:outlineLvl w:val="0"/>
    </w:pPr>
    <w:rPr>
      <w:rFonts w:ascii="Cambria" w:cstheme="majorBidi" w:eastAsiaTheme="majorEastAsia" w:hAnsi="Cambria"/>
      <w:b/>
      <w:color w:themeColor="accent1" w:themeShade="BF" w:val="0F4761"/>
      <w:sz w:val="30"/>
      <w:szCs w:val="40"/>
      <w:u w:val="single"/>
    </w:rPr>
  </w:style>
  <w:style w:styleId="Titre2" w:type="paragraph">
    <w:name w:val="heading 2"/>
    <w:basedOn w:val="Normal"/>
    <w:next w:val="Corpsdetexte"/>
    <w:link w:val="Titre2Car"/>
    <w:uiPriority w:val="9"/>
    <w:unhideWhenUsed/>
    <w:qFormat/>
    <w:rsid w:val="004967D4"/>
    <w:pPr>
      <w:keepNext/>
      <w:keepLines/>
      <w:spacing w:after="80" w:before="160"/>
      <w:outlineLvl w:val="1"/>
    </w:pPr>
    <w:rPr>
      <w:rFonts w:ascii="Cambria" w:cstheme="majorBidi" w:eastAsiaTheme="majorEastAsia" w:hAnsi="Cambria"/>
      <w:color w:themeColor="accent1" w:themeShade="BF" w:val="0F4761"/>
      <w:sz w:val="28"/>
      <w:szCs w:val="32"/>
      <w:u w:val="single"/>
    </w:rPr>
  </w:style>
  <w:style w:styleId="Titre3" w:type="paragraph">
    <w:name w:val="heading 3"/>
    <w:basedOn w:val="Normal"/>
    <w:next w:val="Corpsdetexte"/>
    <w:link w:val="Titre3Car"/>
    <w:uiPriority w:val="9"/>
    <w:unhideWhenUsed/>
    <w:qFormat/>
    <w:rsid w:val="004967D4"/>
    <w:pPr>
      <w:keepNext/>
      <w:keepLines/>
      <w:spacing w:after="80" w:before="160"/>
      <w:outlineLvl w:val="2"/>
    </w:pPr>
    <w:rPr>
      <w:rFonts w:ascii="Cambria" w:cstheme="majorBidi" w:eastAsiaTheme="majorEastAsia" w:hAnsi="Cambria"/>
      <w:color w:themeColor="accent1" w:themeShade="BF" w:val="0F4761"/>
      <w:sz w:val="26"/>
      <w:szCs w:val="28"/>
    </w:rPr>
  </w:style>
  <w:style w:styleId="Titre4" w:type="paragraph">
    <w:name w:val="heading 4"/>
    <w:basedOn w:val="Normal"/>
    <w:next w:val="Corpsdetexte"/>
    <w:link w:val="Titre4Car"/>
    <w:uiPriority w:val="9"/>
    <w:unhideWhenUsed/>
    <w:qFormat/>
    <w:rsid w:val="004967D4"/>
    <w:pPr>
      <w:keepNext/>
      <w:keepLines/>
      <w:spacing w:after="40" w:before="80"/>
      <w:outlineLvl w:val="3"/>
    </w:pPr>
    <w:rPr>
      <w:rFonts w:ascii="Cambria" w:cstheme="majorBidi" w:eastAsiaTheme="majorEastAsia" w:hAnsi="Cambria"/>
      <w:i/>
      <w:iCs/>
      <w:color w:themeColor="accent1" w:themeShade="BF" w:val="0F4761"/>
      <w:sz w:val="24"/>
    </w:rPr>
  </w:style>
  <w:style w:styleId="Titre5" w:type="paragraph">
    <w:name w:val="heading 5"/>
    <w:basedOn w:val="Normal"/>
    <w:next w:val="Corpsdetexte"/>
    <w:link w:val="Titre5Car"/>
    <w:uiPriority w:val="9"/>
    <w:unhideWhenUsed/>
    <w:qFormat/>
    <w:rsid w:val="004967D4"/>
    <w:pPr>
      <w:keepNext/>
      <w:keepLines/>
      <w:spacing w:after="40" w:before="80"/>
      <w:outlineLvl w:val="4"/>
    </w:pPr>
    <w:rPr>
      <w:rFonts w:cstheme="majorBidi" w:eastAsiaTheme="majorEastAsia"/>
      <w:i/>
      <w:color w:themeColor="accent1" w:themeShade="BF" w:val="0F4761"/>
      <w:sz w:val="20"/>
    </w:rPr>
  </w:style>
  <w:style w:styleId="Titre6" w:type="paragraph">
    <w:name w:val="heading 6"/>
    <w:basedOn w:val="Normal"/>
    <w:next w:val="Corpsdetexte"/>
    <w:link w:val="Titre6C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Titre7" w:type="paragraph">
    <w:name w:val="heading 7"/>
    <w:basedOn w:val="Normal"/>
    <w:next w:val="Corpsdetexte"/>
    <w:link w:val="Titre7C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Titre8" w:type="paragraph">
    <w:name w:val="heading 8"/>
    <w:basedOn w:val="Normal"/>
    <w:next w:val="Corpsdetexte"/>
    <w:link w:val="Titre8C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Titre9" w:type="paragraph">
    <w:name w:val="heading 9"/>
    <w:basedOn w:val="Normal"/>
    <w:next w:val="Corpsdetexte"/>
    <w:link w:val="Titre9C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Corpsdetexte" w:type="paragraph">
    <w:name w:val="Body Text"/>
    <w:basedOn w:val="Normal"/>
    <w:qFormat/>
    <w:rsid w:val="008E7D97"/>
    <w:pPr>
      <w:spacing w:after="180" w:before="180"/>
    </w:pPr>
    <w:rPr>
      <w:rFonts w:ascii="Times New Roman" w:hAnsi="Times New Roman"/>
    </w:rPr>
  </w:style>
  <w:style w:customStyle="1" w:styleId="FirstParagraph" w:type="paragraph">
    <w:name w:val="First Paragraph"/>
    <w:basedOn w:val="Corpsdetexte"/>
    <w:next w:val="Corpsdetexte"/>
    <w:qFormat/>
  </w:style>
  <w:style w:customStyle="1" w:styleId="Compact" w:type="paragraph">
    <w:name w:val="Compact"/>
    <w:basedOn w:val="Corpsdetexte"/>
    <w:qFormat/>
    <w:pPr>
      <w:spacing w:after="36" w:before="36"/>
    </w:pPr>
  </w:style>
  <w:style w:styleId="Titre" w:type="paragraph">
    <w:name w:val="Title"/>
    <w:basedOn w:val="Normal"/>
    <w:next w:val="Corpsdetexte"/>
    <w:link w:val="TitreCar"/>
    <w:uiPriority w:val="10"/>
    <w:qFormat/>
    <w:rsid w:val="0099214B"/>
    <w:pPr>
      <w:shd w:color="auto" w:fill="153D63" w:themeFill="text2" w:themeFillTint="E6" w:val="clear"/>
      <w:spacing w:after="80"/>
      <w:contextualSpacing/>
      <w:jc w:val="center"/>
    </w:pPr>
    <w:rPr>
      <w:rFonts w:asciiTheme="majorHAnsi" w:cstheme="majorBidi" w:eastAsiaTheme="majorEastAsia" w:hAnsiTheme="majorHAnsi"/>
      <w:b/>
      <w:color w:themeColor="background1" w:val="FFFFFF"/>
      <w:spacing w:val="-10"/>
      <w:kern w:val="28"/>
      <w:sz w:val="56"/>
      <w:szCs w:val="56"/>
    </w:rPr>
  </w:style>
  <w:style w:customStyle="1" w:styleId="TitreCar" w:type="character">
    <w:name w:val="Titre Car"/>
    <w:basedOn w:val="Policepardfaut"/>
    <w:link w:val="Titre"/>
    <w:uiPriority w:val="10"/>
    <w:rsid w:val="0099214B"/>
    <w:rPr>
      <w:rFonts w:asciiTheme="majorHAnsi" w:cstheme="majorBidi" w:eastAsiaTheme="majorEastAsia" w:hAnsiTheme="majorHAnsi"/>
      <w:b/>
      <w:color w:themeColor="background1" w:val="FFFFFF"/>
      <w:spacing w:val="-10"/>
      <w:kern w:val="28"/>
      <w:sz w:val="56"/>
      <w:szCs w:val="56"/>
      <w:shd w:color="auto" w:fill="153D63" w:themeFill="text2" w:themeFillTint="E6" w:val="clear"/>
    </w:rPr>
  </w:style>
  <w:style w:styleId="Sous-titre" w:type="paragraph">
    <w:name w:val="Subtitle"/>
    <w:basedOn w:val="Titre"/>
    <w:next w:val="Corpsdetexte"/>
    <w:link w:val="Sous-titreCar"/>
    <w:uiPriority w:val="11"/>
    <w:qFormat/>
    <w:rsid w:val="00A10FD9"/>
    <w:pPr>
      <w:numPr>
        <w:ilvl w:val="1"/>
      </w:numPr>
    </w:pPr>
    <w:rPr>
      <w:spacing w:val="15"/>
      <w:sz w:val="28"/>
      <w:szCs w:val="28"/>
    </w:rPr>
  </w:style>
  <w:style w:customStyle="1" w:styleId="Sous-titreCar" w:type="character">
    <w:name w:val="Sous-titre Car"/>
    <w:basedOn w:val="Policepardfaut"/>
    <w:link w:val="Sous-titre"/>
    <w:uiPriority w:val="11"/>
    <w:rsid w:val="00A10FD9"/>
    <w:rPr>
      <w:rFonts w:cstheme="majorBidi" w:eastAsiaTheme="majorEastAsia"/>
      <w:color w:themeColor="text1" w:themeTint="A6" w:val="595959"/>
      <w:spacing w:val="15"/>
      <w:sz w:val="28"/>
      <w:szCs w:val="28"/>
    </w:rPr>
  </w:style>
  <w:style w:customStyle="1" w:styleId="Author" w:type="paragraph">
    <w:name w:val="Author"/>
    <w:next w:val="Corpsdetexte"/>
    <w:qFormat/>
    <w:rsid w:val="00F435CD"/>
    <w:pPr>
      <w:keepNext/>
      <w:keepLines/>
      <w:pBdr>
        <w:bottom w:color="153D63" w:space="1" w:sz="12" w:themeColor="text2" w:themeTint="E6" w:val="single"/>
      </w:pBdr>
      <w:jc w:val="center"/>
    </w:pPr>
    <w:rPr>
      <w:b/>
      <w:i/>
      <w:color w:themeColor="text2" w:themeTint="E6" w:val="153D63"/>
    </w:rPr>
  </w:style>
  <w:style w:styleId="Date" w:type="paragraph">
    <w:name w:val="Date"/>
    <w:next w:val="Corpsdetexte"/>
    <w:qFormat/>
    <w:rsid w:val="004967D4"/>
    <w:pPr>
      <w:keepNext/>
      <w:keepLines/>
      <w:jc w:val="center"/>
    </w:pPr>
    <w:rPr>
      <w:b/>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Corpsdetexte"/>
    <w:qFormat/>
    <w:pPr>
      <w:keepNext/>
      <w:keepLines/>
      <w:spacing w:after="300" w:before="100"/>
    </w:pPr>
    <w:rPr>
      <w:sz w:val="20"/>
      <w:szCs w:val="20"/>
    </w:rPr>
  </w:style>
  <w:style w:styleId="Bibliographie" w:type="paragraph">
    <w:name w:val="Bibliography"/>
    <w:basedOn w:val="Normal"/>
    <w:qFormat/>
  </w:style>
  <w:style w:customStyle="1" w:styleId="Titre1Car" w:type="character">
    <w:name w:val="Titre 1 Car"/>
    <w:basedOn w:val="Policepardfaut"/>
    <w:link w:val="Titre1"/>
    <w:uiPriority w:val="9"/>
    <w:rsid w:val="004967D4"/>
    <w:rPr>
      <w:rFonts w:ascii="Cambria" w:cstheme="majorBidi" w:eastAsiaTheme="majorEastAsia" w:hAnsi="Cambria"/>
      <w:b/>
      <w:color w:themeColor="accent1" w:themeShade="BF" w:val="0F4761"/>
      <w:sz w:val="30"/>
      <w:szCs w:val="40"/>
      <w:u w:val="single"/>
    </w:rPr>
  </w:style>
  <w:style w:customStyle="1" w:styleId="Titre2Car" w:type="character">
    <w:name w:val="Titre 2 Car"/>
    <w:basedOn w:val="Policepardfaut"/>
    <w:link w:val="Titre2"/>
    <w:uiPriority w:val="9"/>
    <w:rsid w:val="004967D4"/>
    <w:rPr>
      <w:rFonts w:ascii="Cambria" w:cstheme="majorBidi" w:eastAsiaTheme="majorEastAsia" w:hAnsi="Cambria"/>
      <w:color w:themeColor="accent1" w:themeShade="BF" w:val="0F4761"/>
      <w:sz w:val="28"/>
      <w:szCs w:val="32"/>
      <w:u w:val="single"/>
    </w:rPr>
  </w:style>
  <w:style w:customStyle="1" w:styleId="Titre3Car" w:type="character">
    <w:name w:val="Titre 3 Car"/>
    <w:basedOn w:val="Policepardfaut"/>
    <w:link w:val="Titre3"/>
    <w:uiPriority w:val="9"/>
    <w:rsid w:val="004967D4"/>
    <w:rPr>
      <w:rFonts w:ascii="Cambria" w:cstheme="majorBidi" w:eastAsiaTheme="majorEastAsia" w:hAnsi="Cambria"/>
      <w:color w:themeColor="accent1" w:themeShade="BF" w:val="0F4761"/>
      <w:sz w:val="26"/>
      <w:szCs w:val="28"/>
    </w:rPr>
  </w:style>
  <w:style w:customStyle="1" w:styleId="Titre4Car" w:type="character">
    <w:name w:val="Titre 4 Car"/>
    <w:basedOn w:val="Policepardfaut"/>
    <w:link w:val="Titre4"/>
    <w:uiPriority w:val="9"/>
    <w:rsid w:val="004967D4"/>
    <w:rPr>
      <w:rFonts w:ascii="Cambria" w:cstheme="majorBidi" w:eastAsiaTheme="majorEastAsia" w:hAnsi="Cambria"/>
      <w:i/>
      <w:iCs/>
      <w:color w:themeColor="accent1" w:themeShade="BF" w:val="0F4761"/>
    </w:rPr>
  </w:style>
  <w:style w:customStyle="1" w:styleId="Titre5Car" w:type="character">
    <w:name w:val="Titre 5 Car"/>
    <w:basedOn w:val="Policepardfaut"/>
    <w:link w:val="Titre5"/>
    <w:uiPriority w:val="9"/>
    <w:rsid w:val="004967D4"/>
    <w:rPr>
      <w:rFonts w:ascii="Arial" w:cstheme="majorBidi" w:eastAsiaTheme="majorEastAsia" w:hAnsi="Arial"/>
      <w:i/>
      <w:color w:themeColor="accent1" w:themeShade="BF" w:val="0F4761"/>
      <w:sz w:val="20"/>
    </w:rPr>
  </w:style>
  <w:style w:customStyle="1" w:styleId="Titre6Car" w:type="character">
    <w:name w:val="Titre 6 Car"/>
    <w:basedOn w:val="Policepardfaut"/>
    <w:link w:val="Titre6"/>
    <w:uiPriority w:val="9"/>
    <w:semiHidden/>
    <w:rsid w:val="00A10FD9"/>
    <w:rPr>
      <w:rFonts w:cstheme="majorBidi" w:eastAsiaTheme="majorEastAsia"/>
      <w:i/>
      <w:iCs/>
      <w:color w:themeColor="text1" w:themeTint="A6" w:val="595959"/>
    </w:rPr>
  </w:style>
  <w:style w:customStyle="1" w:styleId="Titre7Car" w:type="character">
    <w:name w:val="Titre 7 Car"/>
    <w:basedOn w:val="Policepardfaut"/>
    <w:link w:val="Titre7"/>
    <w:uiPriority w:val="9"/>
    <w:semiHidden/>
    <w:rsid w:val="00A10FD9"/>
    <w:rPr>
      <w:rFonts w:cstheme="majorBidi" w:eastAsiaTheme="majorEastAsia"/>
      <w:color w:themeColor="text1" w:themeTint="A6" w:val="595959"/>
    </w:rPr>
  </w:style>
  <w:style w:customStyle="1" w:styleId="Titre8Car" w:type="character">
    <w:name w:val="Titre 8 Car"/>
    <w:basedOn w:val="Policepardfaut"/>
    <w:link w:val="Titre8"/>
    <w:uiPriority w:val="9"/>
    <w:semiHidden/>
    <w:rsid w:val="00A10FD9"/>
    <w:rPr>
      <w:rFonts w:cstheme="majorBidi" w:eastAsiaTheme="majorEastAsia"/>
      <w:i/>
      <w:iCs/>
      <w:color w:themeColor="text1" w:themeTint="D8" w:val="272727"/>
    </w:rPr>
  </w:style>
  <w:style w:customStyle="1" w:styleId="Titre9Car" w:type="character">
    <w:name w:val="Titre 9 Car"/>
    <w:basedOn w:val="Policepardfaut"/>
    <w:link w:val="Titre9"/>
    <w:uiPriority w:val="9"/>
    <w:semiHidden/>
    <w:rsid w:val="00A10FD9"/>
    <w:rPr>
      <w:rFonts w:cstheme="majorBidi" w:eastAsiaTheme="majorEastAsia"/>
      <w:color w:themeColor="text1" w:themeTint="D8" w:val="272727"/>
    </w:rPr>
  </w:style>
  <w:style w:styleId="Normalcentr" w:type="paragraph">
    <w:name w:val="Block Text"/>
    <w:basedOn w:val="Corpsdetexte"/>
    <w:next w:val="Corpsdetexte"/>
    <w:uiPriority w:val="9"/>
    <w:unhideWhenUsed/>
    <w:qFormat/>
    <w:pPr>
      <w:spacing w:after="100" w:before="100"/>
      <w:ind w:left="480" w:right="480"/>
    </w:pPr>
  </w:style>
  <w:style w:styleId="Notedebasdepage" w:type="paragraph">
    <w:name w:val="footnote text"/>
    <w:basedOn w:val="Normal"/>
    <w:uiPriority w:val="9"/>
    <w:unhideWhenUsed/>
    <w:qFormat/>
  </w:style>
  <w:style w:customStyle="1" w:styleId="FootnoteBlockText" w:type="paragraph">
    <w:name w:val="Footnote Block Text"/>
    <w:basedOn w:val="Notedebasdepage"/>
    <w:next w:val="Notedebasdepage"/>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Lgende" w:type="paragraph">
    <w:name w:val="caption"/>
    <w:basedOn w:val="Normal"/>
    <w:link w:val="LgendeCar"/>
    <w:pPr>
      <w:spacing w:after="120"/>
    </w:pPr>
    <w:rPr>
      <w:i/>
    </w:rPr>
  </w:style>
  <w:style w:customStyle="1" w:styleId="TableCaption" w:type="paragraph">
    <w:name w:val="Table Caption"/>
    <w:basedOn w:val="Lgende"/>
    <w:pPr>
      <w:keepNext/>
    </w:pPr>
  </w:style>
  <w:style w:customStyle="1" w:styleId="ImageCaption" w:type="paragraph">
    <w:name w:val="Image Caption"/>
    <w:basedOn w:val="Lgende"/>
  </w:style>
  <w:style w:customStyle="1" w:styleId="Figure" w:type="paragraph">
    <w:name w:val="Figure"/>
    <w:basedOn w:val="Normal"/>
  </w:style>
  <w:style w:customStyle="1" w:styleId="CaptionedFigure" w:type="paragraph">
    <w:name w:val="Captioned Figure"/>
    <w:basedOn w:val="Figure"/>
    <w:pPr>
      <w:keepNext/>
    </w:pPr>
  </w:style>
  <w:style w:customStyle="1" w:styleId="LgendeCar" w:type="character">
    <w:name w:val="Légende Car"/>
    <w:basedOn w:val="Policepardfaut"/>
    <w:link w:val="Lgende"/>
  </w:style>
  <w:style w:customStyle="1" w:styleId="VerbatimChar" w:type="character">
    <w:name w:val="Verbatim Char"/>
    <w:basedOn w:val="LgendeCar"/>
    <w:link w:val="SourceCode"/>
    <w:rsid w:val="00F435CD"/>
    <w:rPr>
      <w:rFonts w:ascii="Arial" w:hAnsi="Arial"/>
      <w:sz w:val="18"/>
      <w:shd w:color="auto" w:fill="F8F8F8" w:val="clear"/>
    </w:rPr>
  </w:style>
  <w:style w:customStyle="1" w:styleId="SectionNumber" w:type="character">
    <w:name w:val="Section Number"/>
    <w:basedOn w:val="LgendeCar"/>
  </w:style>
  <w:style w:styleId="Appelnotedebasdep" w:type="character">
    <w:name w:val="footnote reference"/>
    <w:basedOn w:val="LgendeCar"/>
    <w:rPr>
      <w:vertAlign w:val="superscript"/>
    </w:rPr>
  </w:style>
  <w:style w:styleId="Lienhypertexte" w:type="character">
    <w:name w:val="Hyperlink"/>
    <w:basedOn w:val="LgendeCar"/>
    <w:rPr>
      <w:color w:themeColor="accent1" w:val="156082"/>
    </w:rPr>
  </w:style>
  <w:style w:styleId="En-ttedetabledesmatires" w:type="paragraph">
    <w:name w:val="TOC Heading"/>
    <w:basedOn w:val="Titre1"/>
    <w:next w:val="Corpsdetexte"/>
    <w:uiPriority w:val="39"/>
    <w:unhideWhenUsed/>
    <w:qFormat/>
    <w:pPr>
      <w:spacing w:before="240" w:line="259" w:lineRule="auto"/>
      <w:outlineLvl w:val="9"/>
    </w:pPr>
  </w:style>
  <w:style w:customStyle="1" w:styleId="SourceCode" w:type="paragraph">
    <w:name w:val="Source Code"/>
    <w:link w:val="VerbatimChar"/>
    <w:rsid w:val="00F435CD"/>
    <w:pPr>
      <w:shd w:color="auto" w:fill="F8F8F8" w:val="clear"/>
      <w:wordWrap w:val="0"/>
    </w:pPr>
    <w:rPr>
      <w:rFonts w:ascii="Arial" w:hAnsi="Arial"/>
      <w:sz w:val="18"/>
    </w:r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8F5902"/>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b/>
      <w:color w:val="CE5C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b/>
      <w:color w:val="204A87"/>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204A87"/>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image" Id="rId42" Target="media/rId42.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hyperlink" Id="rId24" Target="documentation/General_Household_Survey-Panel_2010-2011.pdf" TargetMode="External" /><Relationship Type="http://schemas.openxmlformats.org/officeDocument/2006/relationships/hyperlink" Id="rId21" Target="documentation/NationsUnies_guide_conception_enquetes.pdf" TargetMode="External" /></Relationships>
</file>

<file path=word/_rels/footnotes.xml.rels><?xml version="1.0" encoding="UTF-8"?><Relationships xmlns="http://schemas.openxmlformats.org/package/2006/relationships"><Relationship Type="http://schemas.openxmlformats.org/officeDocument/2006/relationships/hyperlink" Id="rId24" Target="documentation/General_Household_Survey-Panel_2010-2011.pdf" TargetMode="External" /><Relationship Type="http://schemas.openxmlformats.org/officeDocument/2006/relationships/hyperlink" Id="rId21" Target="documentation/NationsUnies_guide_conception_enquetes.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117</Words>
  <Characters>645</Characters>
  <Application>Microsoft Office Word</Application>
  <DocSecurity>0</DocSecurity>
  <Lines>5</Lines>
  <Paragraphs>1</Paragraphs>
  <ScaleCrop>false</ScaleCrop>
  <Company/>
  <LinksUpToDate>false</LinksUpToDate>
  <CharactersWithSpaces>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Analyse 1 - Profil démographique des ménages nigérians</dc:title>
  <dc:creator>Ahmed Firhoun OUMAROU SOULEYE &amp; Gérald Guerngué ADDJITA</dc:creator>
  <cp:keywords/>
  <dcterms:created xsi:type="dcterms:W3CDTF">2026-03-22T21:50:03Z</dcterms:created>
  <dcterms:modified xsi:type="dcterms:W3CDTF">2026-03-22T21:50:03Z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2026-03-12</vt:lpwstr>
  </property>
  <property fmtid="{D5CDD505-2E9C-101B-9397-08002B2CF9AE}" pid="3" name="output">
    <vt:lpwstr/>
  </property>
</Properties>
</file>