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27.png" ContentType="image/png"/>
  <Override PartName="/word/media/rId32.png" ContentType="image/png"/>
  <Override PartName="/word/media/rId39.png" ContentType="image/png"/>
  <Override PartName="/word/media/rId46.png" ContentType="image/png"/>
  <Override PartName="/word/media/rId50.png" ContentType="image/png"/>
  <Override PartName="/word/media/rId5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uthor"/>
      </w:pPr>
    </w:p>
    <w:p>
      <w:r>
        <w:pict>
          <v:rect style="width:0;height:1.5pt" o:hralign="center" o:hrstd="t" o:hr="t"/>
        </w:pict>
      </w:r>
    </w:p>
    <w:p>
      <w:pPr>
        <w:pStyle w:val="FirstParagraph"/>
      </w:pPr>
      <w:r>
        <w:rPr>
          <w:b/>
          <w:bCs/>
        </w:rPr>
        <w:t xml:space="preserve">Agence Nationale de la Statistique et de la Démographie</w:t>
      </w:r>
      <w:r>
        <w:t xml:space="preserve"> </w:t>
      </w:r>
      <w:r>
        <w:t xml:space="preserve">|</w:t>
      </w:r>
      <w:r>
        <w:t xml:space="preserve"> </w:t>
      </w:r>
      <w:r>
        <w:rPr>
          <w:b/>
          <w:bCs/>
        </w:rPr>
        <w:t xml:space="preserve">République du Sénégal</w:t>
      </w:r>
      <w:r>
        <w:t xml:space="preserve"> </w:t>
      </w:r>
      <w:r>
        <w:t xml:space="preserve">|</w:t>
      </w:r>
      <w:r>
        <w:t xml:space="preserve"> </w:t>
      </w:r>
      <w:r>
        <w:rPr>
          <w:b/>
          <w:bCs/>
        </w:rPr>
        <w:t xml:space="preserve">École Nationale de la Statistique et de l’Analyse Économique Pierre Ndiaye</w:t>
      </w:r>
    </w:p>
    <w:p>
      <w:r>
        <w:pict>
          <v:rect style="width:0;height:1.5pt" o:hralign="center" o:hrstd="t" o:hr="t"/>
        </w:pict>
      </w:r>
    </w:p>
    <w:p>
      <w:pPr>
        <w:pStyle w:val="FirstParagraph"/>
      </w:pPr>
      <w:r>
        <w:t xml:space="preserve">Année académique</w:t>
      </w:r>
      <w:r>
        <w:t xml:space="preserve"> </w:t>
      </w:r>
      <w:r>
        <w:rPr>
          <w:b/>
          <w:bCs/>
        </w:rPr>
        <w:t xml:space="preserve">2025–2026</w:t>
      </w:r>
    </w:p>
    <w:p>
      <w:pPr>
        <w:pStyle w:val="BodyText"/>
      </w:pPr>
      <w:r>
        <w:t xml:space="preserve">Cours :</w:t>
      </w:r>
      <w:r>
        <w:t xml:space="preserve"> </w:t>
      </w:r>
      <w:r>
        <w:rPr>
          <w:b/>
          <w:bCs/>
        </w:rPr>
        <w:t xml:space="preserve">Projet Statistique sous R et Python</w:t>
      </w:r>
      <w:r>
        <w:t xml:space="preserve"> </w:t>
      </w:r>
      <w:r>
        <w:t xml:space="preserve">| Enseignant :</w:t>
      </w:r>
      <w:r>
        <w:t xml:space="preserve"> </w:t>
      </w:r>
      <w:r>
        <w:rPr>
          <w:b/>
          <w:bCs/>
        </w:rPr>
        <w:t xml:space="preserve">Aboubacar HEMA</w:t>
      </w:r>
    </w:p>
    <w:p>
      <w:r>
        <w:pict>
          <v:rect style="width:0;height:1.5pt" o:hralign="center" o:hrstd="t" o:hr="t"/>
        </w:pict>
      </w:r>
    </w:p>
    <w:bookmarkStart w:id="20" w:name="travaux-pratiques-séance-2"/>
    <w:p>
      <w:pPr>
        <w:pStyle w:val="Heading3"/>
      </w:pPr>
      <w:r>
        <w:t xml:space="preserve">Travaux Pratiques — Séance 2</w:t>
      </w:r>
    </w:p>
    <w:p>
      <w:pPr>
        <w:pStyle w:val="FirstParagraph"/>
      </w:pPr>
      <w:r>
        <w:rPr>
          <w:i/>
          <w:iCs/>
        </w:rPr>
        <w:t xml:space="preserve">Éducation et alphabétisation des membres des ménages au Nigeria</w:t>
      </w:r>
    </w:p>
    <w:p>
      <w:pPr>
        <w:pStyle w:val="BodyText"/>
      </w:pPr>
      <w:r>
        <w:rPr>
          <w:i/>
          <w:iCs/>
        </w:rPr>
        <w:t xml:space="preserve">Nigeria General Household Survey-Panel Wave 4 (NBS, 2018/19)</w:t>
      </w:r>
    </w:p>
    <w:p>
      <w:r>
        <w:pict>
          <v:rect style="width:0;height:1.5pt" o:hralign="center" o:hrstd="t" o:hr="t"/>
        </w:pict>
      </w:r>
    </w:p>
    <w:p>
      <w:pPr>
        <w:pStyle w:val="FirstParagraph"/>
      </w:pPr>
      <w:r>
        <w:rPr>
          <w:b/>
          <w:bCs/>
        </w:rPr>
        <w:t xml:space="preserve">Groupe 4</w:t>
      </w:r>
    </w:p>
    <w:p>
      <w:pPr>
        <w:pStyle w:val="BodyText"/>
      </w:pPr>
      <w:r>
        <w:t xml:space="preserve">TEVOEDJRE Michel — ISE1-CL</w:t>
      </w:r>
    </w:p>
    <w:p>
      <w:pPr>
        <w:pStyle w:val="BodyText"/>
      </w:pPr>
      <w:r>
        <w:t xml:space="preserve">DICKO Hamadou — ISE-MATHS</w:t>
      </w:r>
    </w:p>
    <w:p>
      <w:r>
        <w:br w:type="page"/>
      </w:r>
    </w:p>
    <w:bookmarkEnd w:id="20"/>
    <w:bookmarkStart w:id="21" w:name="introduction"/>
    <w:p>
      <w:pPr>
        <w:pStyle w:val="Heading1"/>
      </w:pPr>
      <w:r>
        <w:rPr>
          <w:rStyle w:val="SectionNumber"/>
        </w:rPr>
        <w:t xml:space="preserve">1</w:t>
      </w:r>
      <w:r>
        <w:tab/>
      </w:r>
      <w:r>
        <w:t xml:space="preserve">Introduction</w:t>
      </w:r>
    </w:p>
    <w:p>
      <w:pPr>
        <w:pStyle w:val="FirstParagraph"/>
      </w:pPr>
      <w:r>
        <w:t xml:space="preserve">Ce rapport présente les résultats du second travail pratique du cours de</w:t>
      </w:r>
      <w:r>
        <w:t xml:space="preserve"> </w:t>
      </w:r>
      <w:r>
        <w:rPr>
          <w:b/>
          <w:bCs/>
        </w:rPr>
        <w:t xml:space="preserve">Projet Statistique sous R et Python</w:t>
      </w:r>
      <w:r>
        <w:t xml:space="preserve">. L’objectif est d’analyser les</w:t>
      </w:r>
      <w:r>
        <w:t xml:space="preserve"> </w:t>
      </w:r>
      <w:r>
        <w:rPr>
          <w:b/>
          <w:bCs/>
        </w:rPr>
        <w:t xml:space="preserve">niveaux d’instruction</w:t>
      </w:r>
      <w:r>
        <w:t xml:space="preserve"> </w:t>
      </w:r>
      <w:r>
        <w:t xml:space="preserve">et les</w:t>
      </w:r>
      <w:r>
        <w:t xml:space="preserve"> </w:t>
      </w:r>
      <w:r>
        <w:rPr>
          <w:b/>
          <w:bCs/>
        </w:rPr>
        <w:t xml:space="preserve">taux de scolarisation</w:t>
      </w:r>
      <w:r>
        <w:t xml:space="preserve"> </w:t>
      </w:r>
      <w:r>
        <w:t xml:space="preserve">des membres des ménages au Nigeria, à partir des sections éducation de la</w:t>
      </w:r>
      <w:r>
        <w:t xml:space="preserve"> </w:t>
      </w:r>
      <w:r>
        <w:rPr>
          <w:i/>
          <w:iCs/>
        </w:rPr>
        <w:t xml:space="preserve">General Household Survey</w:t>
      </w:r>
      <w:r>
        <w:t xml:space="preserve"> </w:t>
      </w:r>
      <w:r>
        <w:t xml:space="preserve">(GHS) — vague 4 (2018), conduite par la Banque Mondiale en collaboration avec le Bureau National des Statistiques nigérien (NBS).</w:t>
      </w:r>
    </w:p>
    <w:p>
      <w:pPr>
        <w:pStyle w:val="BodyText"/>
      </w:pPr>
      <w:r>
        <w:t xml:space="preserve">Trois fichiers sont mobilisés :</w:t>
      </w:r>
      <w:r>
        <w:t xml:space="preserve"> </w:t>
      </w:r>
      <w:r>
        <w:rPr>
          <w:rStyle w:val="VerbatimChar"/>
        </w:rPr>
        <w:t xml:space="preserve">sect2_harvestw4.dta</w:t>
      </w:r>
      <w:r>
        <w:t xml:space="preserve"> </w:t>
      </w:r>
      <w:r>
        <w:t xml:space="preserve">(statut scolaire et niveau atteint),</w:t>
      </w:r>
      <w:r>
        <w:t xml:space="preserve"> </w:t>
      </w:r>
      <w:r>
        <w:rPr>
          <w:rStyle w:val="VerbatimChar"/>
        </w:rPr>
        <w:t xml:space="preserve">sect1_harvestw4.dta</w:t>
      </w:r>
      <w:r>
        <w:t xml:space="preserve"> </w:t>
      </w:r>
      <w:r>
        <w:t xml:space="preserve">(sexe, âge) et</w:t>
      </w:r>
      <w:r>
        <w:t xml:space="preserve"> </w:t>
      </w:r>
      <w:r>
        <w:rPr>
          <w:rStyle w:val="VerbatimChar"/>
        </w:rPr>
        <w:t xml:space="preserve">secta_harvestw4.dta</w:t>
      </w:r>
      <w:r>
        <w:t xml:space="preserve"> </w:t>
      </w:r>
      <w:r>
        <w:t xml:space="preserve">(pondérations</w:t>
      </w:r>
      <w:r>
        <w:t xml:space="preserve"> </w:t>
      </w:r>
      <w:r>
        <w:rPr>
          <w:rStyle w:val="VerbatimChar"/>
        </w:rPr>
        <w:t xml:space="preserve">wt_wave4</w:t>
      </w:r>
      <w:r>
        <w:t xml:space="preserve">, cluster, strate). Les poids de sondage ont été appliqués à toutes les analyses afin que les résultats soient représentatifs de la</w:t>
      </w:r>
      <w:r>
        <w:t xml:space="preserve"> </w:t>
      </w:r>
      <w:r>
        <w:rPr>
          <w:b/>
          <w:bCs/>
        </w:rPr>
        <w:t xml:space="preserve">population nigériane</w:t>
      </w:r>
      <w:r>
        <w:t xml:space="preserve"> </w:t>
      </w:r>
      <w:r>
        <w:t xml:space="preserve">couverte par la vague 4 (population estimée :</w:t>
      </w:r>
      <w:r>
        <w:t xml:space="preserve"> </w:t>
      </w:r>
      <w:r>
        <w:rPr>
          <w:b/>
          <w:bCs/>
        </w:rPr>
        <w:t xml:space="preserve">149 016 938 individus</w:t>
      </w:r>
      <w:r>
        <w:t xml:space="preserve">). L’analyse porte sur</w:t>
      </w:r>
      <w:r>
        <w:t xml:space="preserve"> </w:t>
      </w:r>
      <w:r>
        <w:rPr>
          <w:b/>
          <w:bCs/>
        </w:rPr>
        <w:t xml:space="preserve">26 557 individus</w:t>
      </w:r>
      <w:r>
        <w:t xml:space="preserve"> </w:t>
      </w:r>
      <w:r>
        <w:t xml:space="preserve">après jointure, dont</w:t>
      </w:r>
      <w:r>
        <w:t xml:space="preserve"> </w:t>
      </w:r>
      <w:r>
        <w:rPr>
          <w:b/>
          <w:bCs/>
        </w:rPr>
        <w:t xml:space="preserve">13 385 adultes de 18 ans et plus</w:t>
      </w:r>
      <w:r>
        <w:t xml:space="preserve"> </w:t>
      </w:r>
      <w:r>
        <w:t xml:space="preserve">retenus pour les analyses principales.</w:t>
      </w:r>
    </w:p>
    <w:p>
      <w:pPr>
        <w:pStyle w:val="BodyText"/>
      </w:pPr>
      <w:r>
        <w:t xml:space="preserve">Le travail est structuré en cinq parties :</w:t>
      </w:r>
      <w:r>
        <w:t xml:space="preserve"> </w:t>
      </w:r>
      <w:r>
        <w:rPr>
          <w:b/>
          <w:bCs/>
        </w:rPr>
        <w:t xml:space="preserve">(i)</w:t>
      </w:r>
      <w:r>
        <w:t xml:space="preserve"> </w:t>
      </w:r>
      <w:r>
        <w:t xml:space="preserve">chargement et jointure des données,</w:t>
      </w:r>
      <w:r>
        <w:t xml:space="preserve"> </w:t>
      </w:r>
      <w:r>
        <w:rPr>
          <w:b/>
          <w:bCs/>
        </w:rPr>
        <w:t xml:space="preserve">(ii)</w:t>
      </w:r>
      <w:r>
        <w:t xml:space="preserve"> </w:t>
      </w:r>
      <w:r>
        <w:t xml:space="preserve">construction de la variable de niveau d’éducation et distribution nationale,</w:t>
      </w:r>
      <w:r>
        <w:t xml:space="preserve"> </w:t>
      </w:r>
      <w:r>
        <w:rPr>
          <w:b/>
          <w:bCs/>
        </w:rPr>
        <w:t xml:space="preserve">(iii)</w:t>
      </w:r>
      <w:r>
        <w:t xml:space="preserve"> </w:t>
      </w:r>
      <w:r>
        <w:t xml:space="preserve">analyse des disparités par sexe,</w:t>
      </w:r>
      <w:r>
        <w:t xml:space="preserve"> </w:t>
      </w:r>
      <w:r>
        <w:rPr>
          <w:b/>
          <w:bCs/>
        </w:rPr>
        <w:t xml:space="preserve">(iv)</w:t>
      </w:r>
      <w:r>
        <w:t xml:space="preserve"> </w:t>
      </w:r>
      <w:r>
        <w:t xml:space="preserve">analyse par groupe d’âge, et</w:t>
      </w:r>
      <w:r>
        <w:t xml:space="preserve"> </w:t>
      </w:r>
      <w:r>
        <w:rPr>
          <w:b/>
          <w:bCs/>
        </w:rPr>
        <w:t xml:space="preserve">(v)</w:t>
      </w:r>
      <w:r>
        <w:t xml:space="preserve"> </w:t>
      </w:r>
      <w:r>
        <w:t xml:space="preserve">scolarisation des enfants et profils éducatifs par État.</w:t>
      </w:r>
    </w:p>
    <w:p>
      <w:r>
        <w:pict>
          <v:rect style="width:0;height:1.5pt" o:hralign="center" o:hrstd="t" o:hr="t"/>
        </w:pict>
      </w:r>
    </w:p>
    <w:bookmarkEnd w:id="21"/>
    <w:bookmarkStart w:id="24" w:name="chargement-et-jointure-des-données"/>
    <w:p>
      <w:pPr>
        <w:pStyle w:val="Heading1"/>
      </w:pPr>
      <w:r>
        <w:rPr>
          <w:rStyle w:val="SectionNumber"/>
        </w:rPr>
        <w:t xml:space="preserve">2</w:t>
      </w:r>
      <w:r>
        <w:tab/>
      </w:r>
      <w:r>
        <w:t xml:space="preserve">Chargement et jointure des données</w:t>
      </w:r>
    </w:p>
    <w:bookmarkStart w:id="22" w:name="description-des-fichiers"/>
    <w:p>
      <w:pPr>
        <w:pStyle w:val="Heading2"/>
      </w:pPr>
      <w:r>
        <w:rPr>
          <w:rStyle w:val="SectionNumber"/>
        </w:rPr>
        <w:t xml:space="preserve">2.1</w:t>
      </w:r>
      <w:r>
        <w:tab/>
      </w:r>
      <w:r>
        <w:t xml:space="preserve">Description des fichiers</w:t>
      </w:r>
    </w:p>
    <w:p>
      <w:pPr>
        <w:pStyle w:val="TableCaption"/>
      </w:pPr>
      <w:r>
        <w:t xml:space="preserve">Fichiers .dta utilisés dans l’analyse</w:t>
      </w:r>
    </w:p>
    <w:tbl>
      <w:tblPr>
        <w:tblStyle w:val="Table"/>
        <w:tblW w:type="pct" w:w="5000"/>
        <w:tblLayout w:type="fixed"/>
        <w:tblLook w:firstRow="1" w:lastRow="0" w:firstColumn="0" w:lastColumn="0" w:noHBand="0" w:noVBand="0" w:val="0020"/>
        <w:tblCaption w:val="Fichiers .dta utilisés dans l’analyse"/>
      </w:tblPr>
      <w:tblGrid>
        <w:gridCol w:w="1453"/>
        <w:gridCol w:w="6466"/>
      </w:tblGrid>
      <w:tr>
        <w:trPr>
          <w:tblHeader w:val="on"/>
        </w:trPr>
        <w:tc>
          <w:tcPr/>
          <w:p>
            <w:pPr>
              <w:pStyle w:val="Compact"/>
              <w:jc w:val="left"/>
            </w:pPr>
            <w:r>
              <w:t xml:space="preserve">Fichier</w:t>
            </w:r>
          </w:p>
        </w:tc>
        <w:tc>
          <w:tcPr/>
          <w:p>
            <w:pPr>
              <w:pStyle w:val="Compact"/>
              <w:jc w:val="left"/>
            </w:pPr>
            <w:r>
              <w:t xml:space="preserve">Variables clés</w:t>
            </w:r>
          </w:p>
        </w:tc>
      </w:tr>
      <w:tr>
        <w:tc>
          <w:tcPr/>
          <w:p>
            <w:pPr>
              <w:pStyle w:val="Compact"/>
              <w:jc w:val="left"/>
            </w:pPr>
            <w:r>
              <w:t xml:space="preserve">sect2_harvestw4.dta</w:t>
            </w:r>
          </w:p>
        </w:tc>
        <w:tc>
          <w:tcPr/>
          <w:p>
            <w:pPr>
              <w:pStyle w:val="Compact"/>
              <w:jc w:val="left"/>
            </w:pPr>
            <w:r>
              <w:t xml:space="preserve">s2aq13 (scolarisé ?), s2aq9 (classe actuelle), s2aq15 (niveau atteint), s2aq10 (diplôme)</w:t>
            </w:r>
          </w:p>
        </w:tc>
      </w:tr>
      <w:tr>
        <w:tc>
          <w:tcPr/>
          <w:p>
            <w:pPr>
              <w:pStyle w:val="Compact"/>
              <w:jc w:val="left"/>
            </w:pPr>
            <w:r>
              <w:t xml:space="preserve">sect1_harvestw4.dta</w:t>
            </w:r>
          </w:p>
        </w:tc>
        <w:tc>
          <w:tcPr/>
          <w:p>
            <w:pPr>
              <w:pStyle w:val="Compact"/>
              <w:jc w:val="left"/>
            </w:pPr>
            <w:r>
              <w:t xml:space="preserve">s1q2 (sexe), s1q4 (âge), sector (zone)</w:t>
            </w:r>
          </w:p>
        </w:tc>
      </w:tr>
      <w:tr>
        <w:tc>
          <w:tcPr/>
          <w:p>
            <w:pPr>
              <w:pStyle w:val="Compact"/>
              <w:jc w:val="left"/>
            </w:pPr>
            <w:r>
              <w:t xml:space="preserve">secta_harvestw4.dta</w:t>
            </w:r>
          </w:p>
        </w:tc>
        <w:tc>
          <w:tcPr/>
          <w:p>
            <w:pPr>
              <w:pStyle w:val="Compact"/>
              <w:jc w:val="left"/>
            </w:pPr>
            <w:r>
              <w:t xml:space="preserve">wt_wave4 (pondérations), cluster (UPE), strata (strate)</w:t>
            </w:r>
          </w:p>
        </w:tc>
      </w:tr>
    </w:tbl>
    <w:p>
      <w:pPr>
        <w:pStyle w:val="BodyText"/>
      </w:pPr>
      <w:r>
        <w:t xml:space="preserve">La jointure entre</w:t>
      </w:r>
      <w:r>
        <w:t xml:space="preserve"> </w:t>
      </w:r>
      <w:r>
        <w:rPr>
          <w:rStyle w:val="VerbatimChar"/>
        </w:rPr>
        <w:t xml:space="preserve">sect2</w:t>
      </w:r>
      <w:r>
        <w:t xml:space="preserve"> </w:t>
      </w:r>
      <w:r>
        <w:t xml:space="preserve">et</w:t>
      </w:r>
      <w:r>
        <w:t xml:space="preserve"> </w:t>
      </w:r>
      <w:r>
        <w:rPr>
          <w:rStyle w:val="VerbatimChar"/>
        </w:rPr>
        <w:t xml:space="preserve">sect1</w:t>
      </w:r>
      <w:r>
        <w:t xml:space="preserve"> </w:t>
      </w:r>
      <w:r>
        <w:t xml:space="preserve">est réalisée sur les clés</w:t>
      </w:r>
      <w:r>
        <w:t xml:space="preserve"> </w:t>
      </w:r>
      <w:r>
        <w:rPr>
          <w:b/>
          <w:bCs/>
        </w:rPr>
        <w:t xml:space="preserve">hhid</w:t>
      </w:r>
      <w:r>
        <w:t xml:space="preserve"> </w:t>
      </w:r>
      <w:r>
        <w:t xml:space="preserve">(identifiant ménage) et</w:t>
      </w:r>
      <w:r>
        <w:t xml:space="preserve"> </w:t>
      </w:r>
      <w:r>
        <w:rPr>
          <w:b/>
          <w:bCs/>
        </w:rPr>
        <w:t xml:space="preserve">indiv</w:t>
      </w:r>
      <w:r>
        <w:t xml:space="preserve"> </w:t>
      </w:r>
      <w:r>
        <w:t xml:space="preserve">(identifiant individu). Les poids</w:t>
      </w:r>
      <w:r>
        <w:t xml:space="preserve"> </w:t>
      </w:r>
      <w:r>
        <w:rPr>
          <w:rStyle w:val="VerbatimChar"/>
        </w:rPr>
        <w:t xml:space="preserve">wt_wave4</w:t>
      </w:r>
      <w:r>
        <w:t xml:space="preserve"> </w:t>
      </w:r>
      <w:r>
        <w:t xml:space="preserve">issus de</w:t>
      </w:r>
      <w:r>
        <w:t xml:space="preserve"> </w:t>
      </w:r>
      <w:r>
        <w:rPr>
          <w:rStyle w:val="VerbatimChar"/>
        </w:rPr>
        <w:t xml:space="preserve">secta_harvestw4.dta</w:t>
      </w:r>
      <w:r>
        <w:t xml:space="preserve"> </w:t>
      </w:r>
      <w:r>
        <w:t xml:space="preserve">sont joints via</w:t>
      </w:r>
      <w:r>
        <w:t xml:space="preserve"> </w:t>
      </w:r>
      <w:r>
        <w:rPr>
          <w:b/>
          <w:bCs/>
        </w:rPr>
        <w:t xml:space="preserve">hhid</w:t>
      </w:r>
      <w:r>
        <w:t xml:space="preserve">.</w:t>
      </w:r>
    </w:p>
    <w:bookmarkEnd w:id="22"/>
    <w:bookmarkStart w:id="23" w:name="inspection-des-valeurs-manquantes"/>
    <w:p>
      <w:pPr>
        <w:pStyle w:val="Heading2"/>
      </w:pPr>
      <w:r>
        <w:rPr>
          <w:rStyle w:val="SectionNumber"/>
        </w:rPr>
        <w:t xml:space="preserve">2.2</w:t>
      </w:r>
      <w:r>
        <w:tab/>
      </w:r>
      <w:r>
        <w:t xml:space="preserve">Inspection des valeurs manquantes</w:t>
      </w:r>
    </w:p>
    <w:p>
      <w:pPr>
        <w:pStyle w:val="TableCaption"/>
      </w:pPr>
      <w:r>
        <w:t xml:space="preserve">Valeurs manquantes par variable clé</w:t>
      </w:r>
    </w:p>
    <w:tbl>
      <w:tblPr>
        <w:tblStyle w:val="Table"/>
        <w:tblW w:type="auto" w:w="0"/>
        <w:tblLook w:firstRow="1" w:lastRow="0" w:firstColumn="0" w:lastColumn="0" w:noHBand="0" w:noVBand="0" w:val="0020"/>
        <w:tblCaption w:val="Valeurs manquantes par variable clé"/>
      </w:tblPr>
      <w:tblGrid>
        <w:gridCol w:w="2640"/>
        <w:gridCol w:w="2640"/>
        <w:gridCol w:w="2640"/>
      </w:tblGrid>
      <w:tr>
        <w:trPr>
          <w:tblHeader w:val="on"/>
        </w:trPr>
        <w:tc>
          <w:tcPr/>
          <w:p>
            <w:pPr>
              <w:pStyle w:val="Compact"/>
              <w:jc w:val="left"/>
            </w:pPr>
            <w:r>
              <w:t xml:space="preserve">Variable</w:t>
            </w:r>
          </w:p>
        </w:tc>
        <w:tc>
          <w:tcPr/>
          <w:p>
            <w:pPr>
              <w:pStyle w:val="Compact"/>
              <w:jc w:val="right"/>
            </w:pPr>
            <w:r>
              <w:t xml:space="preserve">Manquants</w:t>
            </w:r>
          </w:p>
        </w:tc>
        <w:tc>
          <w:tcPr/>
          <w:p>
            <w:pPr>
              <w:pStyle w:val="Compact"/>
              <w:jc w:val="right"/>
            </w:pPr>
            <w:r>
              <w:t xml:space="preserve">Part (%)</w:t>
            </w:r>
          </w:p>
        </w:tc>
      </w:tr>
      <w:tr>
        <w:tc>
          <w:tcPr/>
          <w:p>
            <w:pPr>
              <w:pStyle w:val="Compact"/>
              <w:jc w:val="left"/>
            </w:pPr>
            <w:r>
              <w:t xml:space="preserve">s2aq13 (scolarisé ?)</w:t>
            </w:r>
          </w:p>
        </w:tc>
        <w:tc>
          <w:tcPr/>
          <w:p>
            <w:pPr>
              <w:pStyle w:val="Compact"/>
              <w:jc w:val="right"/>
            </w:pPr>
            <w:r>
              <w:t xml:space="preserve">7286</w:t>
            </w:r>
          </w:p>
        </w:tc>
        <w:tc>
          <w:tcPr/>
          <w:p>
            <w:pPr>
              <w:pStyle w:val="Compact"/>
              <w:jc w:val="right"/>
            </w:pPr>
            <w:r>
              <w:t xml:space="preserve">27.44</w:t>
            </w:r>
          </w:p>
        </w:tc>
      </w:tr>
      <w:tr>
        <w:tc>
          <w:tcPr/>
          <w:p>
            <w:pPr>
              <w:pStyle w:val="Compact"/>
              <w:jc w:val="left"/>
            </w:pPr>
            <w:r>
              <w:t xml:space="preserve">s2aq9 (classe actuelle)</w:t>
            </w:r>
          </w:p>
        </w:tc>
        <w:tc>
          <w:tcPr/>
          <w:p>
            <w:pPr>
              <w:pStyle w:val="Compact"/>
              <w:jc w:val="right"/>
            </w:pPr>
            <w:r>
              <w:t xml:space="preserve">7286</w:t>
            </w:r>
          </w:p>
        </w:tc>
        <w:tc>
          <w:tcPr/>
          <w:p>
            <w:pPr>
              <w:pStyle w:val="Compact"/>
              <w:jc w:val="right"/>
            </w:pPr>
            <w:r>
              <w:t xml:space="preserve">27.44</w:t>
            </w:r>
          </w:p>
        </w:tc>
      </w:tr>
      <w:tr>
        <w:tc>
          <w:tcPr/>
          <w:p>
            <w:pPr>
              <w:pStyle w:val="Compact"/>
              <w:jc w:val="left"/>
            </w:pPr>
            <w:r>
              <w:t xml:space="preserve">s2aq15 (niveau atteint)</w:t>
            </w:r>
          </w:p>
        </w:tc>
        <w:tc>
          <w:tcPr/>
          <w:p>
            <w:pPr>
              <w:pStyle w:val="Compact"/>
              <w:jc w:val="right"/>
            </w:pPr>
            <w:r>
              <w:t xml:space="preserve">17248</w:t>
            </w:r>
          </w:p>
        </w:tc>
        <w:tc>
          <w:tcPr/>
          <w:p>
            <w:pPr>
              <w:pStyle w:val="Compact"/>
              <w:jc w:val="right"/>
            </w:pPr>
            <w:r>
              <w:t xml:space="preserve">64.95</w:t>
            </w:r>
          </w:p>
        </w:tc>
      </w:tr>
      <w:tr>
        <w:tc>
          <w:tcPr/>
          <w:p>
            <w:pPr>
              <w:pStyle w:val="Compact"/>
              <w:jc w:val="left"/>
            </w:pPr>
            <w:r>
              <w:t xml:space="preserve">s2aq10 (diplôme obtenu)</w:t>
            </w:r>
          </w:p>
        </w:tc>
        <w:tc>
          <w:tcPr/>
          <w:p>
            <w:pPr>
              <w:pStyle w:val="Compact"/>
              <w:jc w:val="right"/>
            </w:pPr>
            <w:r>
              <w:t xml:space="preserve">7286</w:t>
            </w:r>
          </w:p>
        </w:tc>
        <w:tc>
          <w:tcPr/>
          <w:p>
            <w:pPr>
              <w:pStyle w:val="Compact"/>
              <w:jc w:val="right"/>
            </w:pPr>
            <w:r>
              <w:t xml:space="preserve">27.44</w:t>
            </w:r>
          </w:p>
        </w:tc>
      </w:tr>
      <w:tr>
        <w:tc>
          <w:tcPr/>
          <w:p>
            <w:pPr>
              <w:pStyle w:val="Compact"/>
              <w:jc w:val="left"/>
            </w:pPr>
            <w:r>
              <w:t xml:space="preserve">Âge</w:t>
            </w:r>
          </w:p>
        </w:tc>
        <w:tc>
          <w:tcPr/>
          <w:p>
            <w:pPr>
              <w:pStyle w:val="Compact"/>
              <w:jc w:val="right"/>
            </w:pPr>
            <w:r>
              <w:t xml:space="preserve">0</w:t>
            </w:r>
          </w:p>
        </w:tc>
        <w:tc>
          <w:tcPr/>
          <w:p>
            <w:pPr>
              <w:pStyle w:val="Compact"/>
              <w:jc w:val="right"/>
            </w:pPr>
            <w:r>
              <w:t xml:space="preserve">0.00</w:t>
            </w:r>
          </w:p>
        </w:tc>
      </w:tr>
      <w:tr>
        <w:tc>
          <w:tcPr/>
          <w:p>
            <w:pPr>
              <w:pStyle w:val="Compact"/>
              <w:jc w:val="left"/>
            </w:pPr>
            <w:r>
              <w:t xml:space="preserve">Sexe</w:t>
            </w:r>
          </w:p>
        </w:tc>
        <w:tc>
          <w:tcPr/>
          <w:p>
            <w:pPr>
              <w:pStyle w:val="Compact"/>
              <w:jc w:val="right"/>
            </w:pPr>
            <w:r>
              <w:t xml:space="preserve">0</w:t>
            </w:r>
          </w:p>
        </w:tc>
        <w:tc>
          <w:tcPr/>
          <w:p>
            <w:pPr>
              <w:pStyle w:val="Compact"/>
              <w:jc w:val="right"/>
            </w:pPr>
            <w:r>
              <w:t xml:space="preserve">0.00</w:t>
            </w:r>
          </w:p>
        </w:tc>
      </w:tr>
    </w:tbl>
    <w:p>
      <w:pPr>
        <w:pStyle w:val="BodyText"/>
      </w:pPr>
      <w:r>
        <w:t xml:space="preserve">Les valeurs manquantes sur</w:t>
      </w:r>
      <w:r>
        <w:t xml:space="preserve"> </w:t>
      </w:r>
      <w:r>
        <w:rPr>
          <w:rStyle w:val="VerbatimChar"/>
        </w:rPr>
        <w:t xml:space="preserve">s2aq15</w:t>
      </w:r>
      <w:r>
        <w:t xml:space="preserve"> </w:t>
      </w:r>
      <w:r>
        <w:t xml:space="preserve">et</w:t>
      </w:r>
      <w:r>
        <w:t xml:space="preserve"> </w:t>
      </w:r>
      <w:r>
        <w:rPr>
          <w:rStyle w:val="VerbatimChar"/>
        </w:rPr>
        <w:t xml:space="preserve">s2aq9</w:t>
      </w:r>
      <w:r>
        <w:t xml:space="preserve"> </w:t>
      </w:r>
      <w:r>
        <w:t xml:space="preserve">sont</w:t>
      </w:r>
      <w:r>
        <w:t xml:space="preserve"> </w:t>
      </w:r>
      <w:r>
        <w:rPr>
          <w:b/>
          <w:bCs/>
        </w:rPr>
        <w:t xml:space="preserve">structurelles</w:t>
      </w:r>
      <w:r>
        <w:t xml:space="preserve"> </w:t>
      </w:r>
      <w:r>
        <w:t xml:space="preserve">: un individu renseigne soit son niveau actuel, soit son dernier niveau fréquenté. Les individus jamais scolarisés ne renseignent ni l’un ni l’autre, et sont codés systématiquement comme Aucun.</w:t>
      </w:r>
    </w:p>
    <w:p>
      <w:r>
        <w:pict>
          <v:rect style="width:0;height:1.5pt" o:hralign="center" o:hrstd="t" o:hr="t"/>
        </w:pict>
      </w:r>
    </w:p>
    <w:bookmarkEnd w:id="23"/>
    <w:bookmarkEnd w:id="24"/>
    <w:bookmarkStart w:id="31" w:name="X15f2885b9aaa89096af20fc456a6d9971e0ff98"/>
    <w:p>
      <w:pPr>
        <w:pStyle w:val="Heading1"/>
      </w:pPr>
      <w:r>
        <w:rPr>
          <w:rStyle w:val="SectionNumber"/>
        </w:rPr>
        <w:t xml:space="preserve">3</w:t>
      </w:r>
      <w:r>
        <w:tab/>
      </w:r>
      <w:r>
        <w:t xml:space="preserve">Construction de</w:t>
      </w:r>
      <w:r>
        <w:t xml:space="preserve"> </w:t>
      </w:r>
      <w:r>
        <w:rPr>
          <w:rStyle w:val="VerbatimChar"/>
        </w:rPr>
        <w:t xml:space="preserve">niveau_educ</w:t>
      </w:r>
      <w:r>
        <w:t xml:space="preserve"> </w:t>
      </w:r>
      <w:r>
        <w:t xml:space="preserve">et distribution nationale</w:t>
      </w:r>
    </w:p>
    <w:bookmarkStart w:id="25" w:name="règles-de-codage-5-catégories-ordonnées"/>
    <w:p>
      <w:pPr>
        <w:pStyle w:val="Heading2"/>
      </w:pPr>
      <w:r>
        <w:rPr>
          <w:rStyle w:val="SectionNumber"/>
        </w:rPr>
        <w:t xml:space="preserve">3.1</w:t>
      </w:r>
      <w:r>
        <w:tab/>
      </w:r>
      <w:r>
        <w:t xml:space="preserve">Règles de codage (5 catégories ordonnées)</w:t>
      </w:r>
    </w:p>
    <w:p>
      <w:pPr>
        <w:pStyle w:val="TableCaption"/>
      </w:pPr>
      <w:r>
        <w:t xml:space="preserve">Règles de codage de la variable niveau_educ (5 catégories ordonnées)</w:t>
      </w:r>
    </w:p>
    <w:tbl>
      <w:tblPr>
        <w:tblStyle w:val="Table"/>
        <w:tblW w:type="pct" w:w="5000"/>
        <w:tblLayout w:type="fixed"/>
        <w:tblLook w:firstRow="1" w:lastRow="0" w:firstColumn="0" w:lastColumn="0" w:noHBand="0" w:noVBand="0" w:val="0020"/>
        <w:tblCaption w:val="Règles de codage de la variable niveau_educ (5 catégories ordonnées)"/>
      </w:tblPr>
      <w:tblGrid>
        <w:gridCol w:w="1402"/>
        <w:gridCol w:w="2722"/>
        <w:gridCol w:w="3795"/>
      </w:tblGrid>
      <w:tr>
        <w:trPr>
          <w:tblHeader w:val="on"/>
        </w:trPr>
        <w:tc>
          <w:tcPr/>
          <w:p>
            <w:pPr>
              <w:pStyle w:val="Compact"/>
              <w:jc w:val="left"/>
            </w:pPr>
            <w:r>
              <w:t xml:space="preserve">Catégorie</w:t>
            </w:r>
          </w:p>
        </w:tc>
        <w:tc>
          <w:tcPr/>
          <w:p>
            <w:pPr>
              <w:pStyle w:val="Compact"/>
              <w:jc w:val="left"/>
            </w:pPr>
            <w:r>
              <w:t xml:space="preserve">Codes s2aq15 / s2aq9</w:t>
            </w:r>
          </w:p>
        </w:tc>
        <w:tc>
          <w:tcPr/>
          <w:p>
            <w:pPr>
              <w:pStyle w:val="Compact"/>
              <w:jc w:val="left"/>
            </w:pPr>
            <w:r>
              <w:t xml:space="preserve">Codes s2aq10</w:t>
            </w:r>
          </w:p>
        </w:tc>
      </w:tr>
      <w:tr>
        <w:tc>
          <w:tcPr/>
          <w:p>
            <w:pPr>
              <w:pStyle w:val="Compact"/>
              <w:jc w:val="left"/>
            </w:pPr>
            <w:r>
              <w:t xml:space="preserve">Aucun</w:t>
            </w:r>
          </w:p>
        </w:tc>
        <w:tc>
          <w:tcPr/>
          <w:p>
            <w:pPr>
              <w:pStyle w:val="Compact"/>
              <w:jc w:val="left"/>
            </w:pPr>
            <w:r>
              <w:t xml:space="preserve">s2aq13 == 2, ou codes 1-3, 51-52</w:t>
            </w:r>
          </w:p>
        </w:tc>
        <w:tc>
          <w:tcPr/>
          <w:p>
            <w:pPr>
              <w:pStyle w:val="Compact"/>
              <w:jc w:val="left"/>
            </w:pPr>
            <w:r>
              <w:t xml:space="preserve">manquant / non applicable</w:t>
            </w:r>
          </w:p>
        </w:tc>
      </w:tr>
      <w:tr>
        <w:tc>
          <w:tcPr/>
          <w:p>
            <w:pPr>
              <w:pStyle w:val="Compact"/>
              <w:jc w:val="left"/>
            </w:pPr>
            <w:r>
              <w:t xml:space="preserve">Primaire</w:t>
            </w:r>
          </w:p>
        </w:tc>
        <w:tc>
          <w:tcPr/>
          <w:p>
            <w:pPr>
              <w:pStyle w:val="Compact"/>
              <w:jc w:val="left"/>
            </w:pPr>
            <w:r>
              <w:t xml:space="preserve">11-16 (Primary 1-6)</w:t>
            </w:r>
          </w:p>
        </w:tc>
        <w:tc>
          <w:tcPr/>
          <w:p>
            <w:pPr>
              <w:pStyle w:val="Compact"/>
              <w:jc w:val="left"/>
            </w:pPr>
            <w:r>
              <w:t xml:space="preserve">2 (FSLC), 3 (MSLC)</w:t>
            </w:r>
          </w:p>
        </w:tc>
      </w:tr>
      <w:tr>
        <w:tc>
          <w:tcPr/>
          <w:p>
            <w:pPr>
              <w:pStyle w:val="Compact"/>
              <w:jc w:val="left"/>
            </w:pPr>
            <w:r>
              <w:t xml:space="preserve">Junior Secondary</w:t>
            </w:r>
          </w:p>
        </w:tc>
        <w:tc>
          <w:tcPr/>
          <w:p>
            <w:pPr>
              <w:pStyle w:val="Compact"/>
              <w:jc w:val="left"/>
            </w:pPr>
            <w:r>
              <w:t xml:space="preserve">21-23 (JS 1-3)</w:t>
            </w:r>
          </w:p>
        </w:tc>
        <w:tc>
          <w:tcPr/>
          <w:p>
            <w:pPr>
              <w:pStyle w:val="Compact"/>
              <w:jc w:val="left"/>
            </w:pPr>
            <w:r>
              <w:t xml:space="preserve">5 (JSS Certificate)</w:t>
            </w:r>
          </w:p>
        </w:tc>
      </w:tr>
      <w:tr>
        <w:tc>
          <w:tcPr/>
          <w:p>
            <w:pPr>
              <w:pStyle w:val="Compact"/>
              <w:jc w:val="left"/>
            </w:pPr>
            <w:r>
              <w:t xml:space="preserve">Senior Secondary</w:t>
            </w:r>
          </w:p>
        </w:tc>
        <w:tc>
          <w:tcPr/>
          <w:p>
            <w:pPr>
              <w:pStyle w:val="Compact"/>
              <w:jc w:val="left"/>
            </w:pPr>
            <w:r>
              <w:t xml:space="preserve">24-28, 31, 33, 321</w:t>
            </w:r>
          </w:p>
        </w:tc>
        <w:tc>
          <w:tcPr/>
          <w:p>
            <w:pPr>
              <w:pStyle w:val="Compact"/>
              <w:jc w:val="left"/>
            </w:pPr>
            <w:r>
              <w:t xml:space="preserve">6 (SSS/O-Level), 7 (A-Level)</w:t>
            </w:r>
          </w:p>
        </w:tc>
      </w:tr>
      <w:tr>
        <w:tc>
          <w:tcPr/>
          <w:p>
            <w:pPr>
              <w:pStyle w:val="Compact"/>
              <w:jc w:val="left"/>
            </w:pPr>
            <w:r>
              <w:t xml:space="preserve">Tertiaire</w:t>
            </w:r>
          </w:p>
        </w:tc>
        <w:tc>
          <w:tcPr/>
          <w:p>
            <w:pPr>
              <w:pStyle w:val="Compact"/>
              <w:jc w:val="left"/>
            </w:pPr>
            <w:r>
              <w:t xml:space="preserve">34, 35, 41, 43, 322, 411-424</w:t>
            </w:r>
          </w:p>
        </w:tc>
        <w:tc>
          <w:tcPr/>
          <w:p>
            <w:pPr>
              <w:pStyle w:val="Compact"/>
              <w:jc w:val="left"/>
            </w:pPr>
            <w:r>
              <w:t xml:space="preserve">8 (NCE/OND), 9 (BSc/HND), 11-12 (Masters/PhD)</w:t>
            </w:r>
          </w:p>
        </w:tc>
      </w:tr>
    </w:tbl>
    <w:bookmarkEnd w:id="25"/>
    <w:bookmarkStart w:id="26" w:name="fréquences-et-proportions-pondérées"/>
    <w:p>
      <w:pPr>
        <w:pStyle w:val="Heading2"/>
      </w:pPr>
      <w:r>
        <w:rPr>
          <w:rStyle w:val="SectionNumber"/>
        </w:rPr>
        <w:t xml:space="preserve">3.2</w:t>
      </w:r>
      <w:r>
        <w:tab/>
      </w:r>
      <w:r>
        <w:t xml:space="preserve">Fréquences et proportions pondérées</w:t>
      </w:r>
    </w:p>
    <w:p>
      <w:pPr>
        <w:pStyle w:val="TableCaption"/>
      </w:pPr>
      <w:r>
        <w:t xml:space="preserve">Distribution pondérée du niveau d’éducation — adultes 18+ (GHS-W4 2018)</w:t>
      </w:r>
    </w:p>
    <w:tbl>
      <w:tblPr>
        <w:tblStyle w:val="Table"/>
        <w:tblW w:type="auto" w:w="0"/>
        <w:tblLook w:firstRow="1" w:lastRow="0" w:firstColumn="0" w:lastColumn="0" w:noHBand="0" w:noVBand="0" w:val="0020"/>
        <w:tblCaption w:val="Distribution pondérée du niveau d’éducation — adultes 18+ (GHS-W4 2018)"/>
      </w:tblPr>
      <w:tblGrid>
        <w:gridCol w:w="2640"/>
        <w:gridCol w:w="2640"/>
        <w:gridCol w:w="2640"/>
      </w:tblGrid>
      <w:tr>
        <w:trPr>
          <w:tblHeader w:val="on"/>
        </w:trPr>
        <w:tc>
          <w:tcPr/>
          <w:p>
            <w:pPr>
              <w:pStyle w:val="Compact"/>
              <w:jc w:val="left"/>
            </w:pPr>
            <w:r>
              <w:t xml:space="preserve">Niveau d’éducation</w:t>
            </w:r>
          </w:p>
        </w:tc>
        <w:tc>
          <w:tcPr/>
          <w:p>
            <w:pPr>
              <w:pStyle w:val="Compact"/>
              <w:jc w:val="right"/>
            </w:pPr>
            <w:r>
              <w:t xml:space="preserve">Effectif pondéré</w:t>
            </w:r>
          </w:p>
        </w:tc>
        <w:tc>
          <w:tcPr/>
          <w:p>
            <w:pPr>
              <w:pStyle w:val="Compact"/>
              <w:jc w:val="right"/>
            </w:pPr>
            <w:r>
              <w:t xml:space="preserve">Proportion (%)</w:t>
            </w:r>
          </w:p>
        </w:tc>
      </w:tr>
      <w:tr>
        <w:tc>
          <w:tcPr/>
          <w:p>
            <w:pPr>
              <w:pStyle w:val="Compact"/>
              <w:jc w:val="left"/>
            </w:pPr>
            <w:r>
              <w:t xml:space="preserve">Aucun</w:t>
            </w:r>
          </w:p>
        </w:tc>
        <w:tc>
          <w:tcPr/>
          <w:p>
            <w:pPr>
              <w:pStyle w:val="Compact"/>
              <w:jc w:val="right"/>
            </w:pPr>
            <w:r>
              <w:t xml:space="preserve">65831282</w:t>
            </w:r>
          </w:p>
        </w:tc>
        <w:tc>
          <w:tcPr/>
          <w:p>
            <w:pPr>
              <w:pStyle w:val="Compact"/>
              <w:jc w:val="right"/>
            </w:pPr>
            <w:r>
              <w:t xml:space="preserve">90.73</w:t>
            </w:r>
          </w:p>
        </w:tc>
      </w:tr>
      <w:tr>
        <w:tc>
          <w:tcPr/>
          <w:p>
            <w:pPr>
              <w:pStyle w:val="Compact"/>
              <w:jc w:val="left"/>
            </w:pPr>
            <w:r>
              <w:t xml:space="preserve">Primaire</w:t>
            </w:r>
          </w:p>
        </w:tc>
        <w:tc>
          <w:tcPr/>
          <w:p>
            <w:pPr>
              <w:pStyle w:val="Compact"/>
              <w:jc w:val="right"/>
            </w:pPr>
            <w:r>
              <w:t xml:space="preserve">498665</w:t>
            </w:r>
          </w:p>
        </w:tc>
        <w:tc>
          <w:tcPr/>
          <w:p>
            <w:pPr>
              <w:pStyle w:val="Compact"/>
              <w:jc w:val="right"/>
            </w:pPr>
            <w:r>
              <w:t xml:space="preserve">0.69</w:t>
            </w:r>
          </w:p>
        </w:tc>
      </w:tr>
      <w:tr>
        <w:tc>
          <w:tcPr/>
          <w:p>
            <w:pPr>
              <w:pStyle w:val="Compact"/>
              <w:jc w:val="left"/>
            </w:pPr>
            <w:r>
              <w:t xml:space="preserve">Junior Secondary</w:t>
            </w:r>
          </w:p>
        </w:tc>
        <w:tc>
          <w:tcPr/>
          <w:p>
            <w:pPr>
              <w:pStyle w:val="Compact"/>
              <w:jc w:val="right"/>
            </w:pPr>
            <w:r>
              <w:t xml:space="preserve">904272</w:t>
            </w:r>
          </w:p>
        </w:tc>
        <w:tc>
          <w:tcPr/>
          <w:p>
            <w:pPr>
              <w:pStyle w:val="Compact"/>
              <w:jc w:val="right"/>
            </w:pPr>
            <w:r>
              <w:t xml:space="preserve">1.25</w:t>
            </w:r>
          </w:p>
        </w:tc>
      </w:tr>
      <w:tr>
        <w:tc>
          <w:tcPr/>
          <w:p>
            <w:pPr>
              <w:pStyle w:val="Compact"/>
              <w:jc w:val="left"/>
            </w:pPr>
            <w:r>
              <w:t xml:space="preserve">Senior Secondary</w:t>
            </w:r>
          </w:p>
        </w:tc>
        <w:tc>
          <w:tcPr/>
          <w:p>
            <w:pPr>
              <w:pStyle w:val="Compact"/>
              <w:jc w:val="right"/>
            </w:pPr>
            <w:r>
              <w:t xml:space="preserve">2595653</w:t>
            </w:r>
          </w:p>
        </w:tc>
        <w:tc>
          <w:tcPr/>
          <w:p>
            <w:pPr>
              <w:pStyle w:val="Compact"/>
              <w:jc w:val="right"/>
            </w:pPr>
            <w:r>
              <w:t xml:space="preserve">3.58</w:t>
            </w:r>
          </w:p>
        </w:tc>
      </w:tr>
      <w:tr>
        <w:tc>
          <w:tcPr/>
          <w:p>
            <w:pPr>
              <w:pStyle w:val="Compact"/>
              <w:jc w:val="left"/>
            </w:pPr>
            <w:r>
              <w:t xml:space="preserve">Tertiaire</w:t>
            </w:r>
          </w:p>
        </w:tc>
        <w:tc>
          <w:tcPr/>
          <w:p>
            <w:pPr>
              <w:pStyle w:val="Compact"/>
              <w:jc w:val="right"/>
            </w:pPr>
            <w:r>
              <w:t xml:space="preserve">2726072</w:t>
            </w:r>
          </w:p>
        </w:tc>
        <w:tc>
          <w:tcPr/>
          <w:p>
            <w:pPr>
              <w:pStyle w:val="Compact"/>
              <w:jc w:val="right"/>
            </w:pPr>
            <w:r>
              <w:t xml:space="preserve">3.76</w:t>
            </w:r>
          </w:p>
        </w:tc>
      </w:tr>
    </w:tbl>
    <w:bookmarkEnd w:id="26"/>
    <w:bookmarkStart w:id="30" w:name="barplot-horizontal"/>
    <w:p>
      <w:pPr>
        <w:pStyle w:val="Heading2"/>
      </w:pPr>
      <w:r>
        <w:rPr>
          <w:rStyle w:val="SectionNumber"/>
        </w:rPr>
        <w:t xml:space="preserve">3.3</w:t>
      </w:r>
      <w:r>
        <w:tab/>
      </w:r>
      <w:r>
        <w:t xml:space="preserve">Barplot horizontal</w:t>
      </w:r>
    </w:p>
    <w:p>
      <w:pPr>
        <w:pStyle w:val="CaptionedFigure"/>
      </w:pPr>
      <w:r>
        <w:drawing>
          <wp:inline>
            <wp:extent cx="4832604" cy="3020377"/>
            <wp:effectExtent b="0" l="0" r="0" t="0"/>
            <wp:docPr descr="Distribution pondérée du niveau d’éducation des adultes (18+) – Nigeria GHS-W4 2018" title="" id="28" name="Picture"/>
            <a:graphic>
              <a:graphicData uri="http://schemas.openxmlformats.org/drawingml/2006/picture">
                <pic:pic>
                  <pic:nvPicPr>
                    <pic:cNvPr descr="../outputs/fig01_barplot_niveau_educ_global.png" id="29" name="Picture"/>
                    <pic:cNvPicPr>
                      <a:picLocks noChangeArrowheads="1" noChangeAspect="1"/>
                    </pic:cNvPicPr>
                  </pic:nvPicPr>
                  <pic:blipFill>
                    <a:blip r:embed="rId27"/>
                    <a:stretch>
                      <a:fillRect/>
                    </a:stretch>
                  </pic:blipFill>
                  <pic:spPr bwMode="auto">
                    <a:xfrm>
                      <a:off x="0" y="0"/>
                      <a:ext cx="4832604" cy="3020377"/>
                    </a:xfrm>
                    <a:prstGeom prst="rect">
                      <a:avLst/>
                    </a:prstGeom>
                    <a:noFill/>
                    <a:ln w="9525">
                      <a:noFill/>
                      <a:headEnd/>
                      <a:tailEnd/>
                    </a:ln>
                  </pic:spPr>
                </pic:pic>
              </a:graphicData>
            </a:graphic>
          </wp:inline>
        </w:drawing>
      </w:r>
    </w:p>
    <w:p>
      <w:pPr>
        <w:pStyle w:val="ImageCaption"/>
      </w:pPr>
      <w:r>
        <w:t xml:space="preserve">Distribution pondérée du niveau d’éducation des adultes (18+) – Nigeria GHS-W4 2018</w:t>
      </w:r>
    </w:p>
    <w:p>
      <w:pPr>
        <w:pStyle w:val="BodyText"/>
      </w:pPr>
      <w:r>
        <w:t xml:space="preserve">La majorité des adultes n’ont atteint aucun niveau d’instruction formel complet. Les niveaux secondaire et tertiaire restent très minoritaires dans la population estimée, révélant des défis importants pour le capital humain du Nigeria.</w:t>
      </w:r>
    </w:p>
    <w:p>
      <w:r>
        <w:pict>
          <v:rect style="width:0;height:1.5pt" o:hralign="center" o:hrstd="t" o:hr="t"/>
        </w:pict>
      </w:r>
    </w:p>
    <w:bookmarkEnd w:id="30"/>
    <w:bookmarkEnd w:id="31"/>
    <w:bookmarkStart w:id="38" w:name="disparités-selon-le-sexe"/>
    <w:p>
      <w:pPr>
        <w:pStyle w:val="Heading1"/>
      </w:pPr>
      <w:r>
        <w:rPr>
          <w:rStyle w:val="SectionNumber"/>
        </w:rPr>
        <w:t xml:space="preserve">4</w:t>
      </w:r>
      <w:r>
        <w:tab/>
      </w:r>
      <w:r>
        <w:t xml:space="preserve">Disparités selon le sexe</w:t>
      </w:r>
    </w:p>
    <w:bookmarkStart w:id="35" w:name="barplot-100-empilé-pondéré"/>
    <w:p>
      <w:pPr>
        <w:pStyle w:val="Heading2"/>
      </w:pPr>
      <w:r>
        <w:rPr>
          <w:rStyle w:val="SectionNumber"/>
        </w:rPr>
        <w:t xml:space="preserve">4.1</w:t>
      </w:r>
      <w:r>
        <w:tab/>
      </w:r>
      <w:r>
        <w:t xml:space="preserve">Barplot 100% empilé pondéré</w:t>
      </w:r>
    </w:p>
    <w:p>
      <w:pPr>
        <w:pStyle w:val="CaptionedFigure"/>
      </w:pPr>
      <w:r>
        <w:drawing>
          <wp:inline>
            <wp:extent cx="4832604" cy="2953258"/>
            <wp:effectExtent b="0" l="0" r="0" t="0"/>
            <wp:docPr descr="Niveau d’éducation pondéré par sexe – barres 100% empilées (adultes 18+)" title="" id="33" name="Picture"/>
            <a:graphic>
              <a:graphicData uri="http://schemas.openxmlformats.org/drawingml/2006/picture">
                <pic:pic>
                  <pic:nvPicPr>
                    <pic:cNvPr descr="../outputs/fig02_barplot100_niveau_sexe.png" id="34" name="Picture"/>
                    <pic:cNvPicPr>
                      <a:picLocks noChangeArrowheads="1" noChangeAspect="1"/>
                    </pic:cNvPicPr>
                  </pic:nvPicPr>
                  <pic:blipFill>
                    <a:blip r:embed="rId32"/>
                    <a:stretch>
                      <a:fillRect/>
                    </a:stretch>
                  </pic:blipFill>
                  <pic:spPr bwMode="auto">
                    <a:xfrm>
                      <a:off x="0" y="0"/>
                      <a:ext cx="4832604" cy="2953258"/>
                    </a:xfrm>
                    <a:prstGeom prst="rect">
                      <a:avLst/>
                    </a:prstGeom>
                    <a:noFill/>
                    <a:ln w="9525">
                      <a:noFill/>
                      <a:headEnd/>
                      <a:tailEnd/>
                    </a:ln>
                  </pic:spPr>
                </pic:pic>
              </a:graphicData>
            </a:graphic>
          </wp:inline>
        </w:drawing>
      </w:r>
    </w:p>
    <w:p>
      <w:pPr>
        <w:pStyle w:val="ImageCaption"/>
      </w:pPr>
      <w:r>
        <w:t xml:space="preserve">Niveau d’éducation pondéré par sexe – barres 100% empilées (adultes 18+)</w:t>
      </w:r>
    </w:p>
    <w:bookmarkEnd w:id="35"/>
    <w:bookmarkStart w:id="36" w:name="table-de-contingence-pondérée"/>
    <w:p>
      <w:pPr>
        <w:pStyle w:val="Heading2"/>
      </w:pPr>
      <w:r>
        <w:rPr>
          <w:rStyle w:val="SectionNumber"/>
        </w:rPr>
        <w:t xml:space="preserve">4.2</w:t>
      </w:r>
      <w:r>
        <w:tab/>
      </w:r>
      <w:r>
        <w:t xml:space="preserve">Table de contingence pondérée</w:t>
      </w:r>
    </w:p>
    <w:p>
      <w:pPr>
        <w:pStyle w:val="TableCaption"/>
      </w:pPr>
      <w:r>
        <w:t xml:space="preserve">Table de contingence pondérée : Sexe x Niveau d’éducation</w:t>
      </w:r>
    </w:p>
    <w:tbl>
      <w:tblPr>
        <w:tblStyle w:val="Table"/>
        <w:tblW w:type="pct" w:w="5000"/>
        <w:tblLayout w:type="fixed"/>
        <w:tblLook w:firstRow="1" w:lastRow="0" w:firstColumn="0" w:lastColumn="0" w:noHBand="0" w:noVBand="0" w:val="0020"/>
        <w:tblCaption w:val="Table de contingence pondérée : Sexe x Niveau d’éducation"/>
      </w:tblPr>
      <w:tblGrid>
        <w:gridCol w:w="698"/>
        <w:gridCol w:w="1048"/>
        <w:gridCol w:w="1048"/>
        <w:gridCol w:w="1980"/>
        <w:gridCol w:w="1980"/>
        <w:gridCol w:w="1164"/>
      </w:tblGrid>
      <w:tr>
        <w:trPr>
          <w:tblHeader w:val="on"/>
        </w:trPr>
        <w:tc>
          <w:tcPr/>
          <w:p>
            <w:pPr>
              <w:pStyle w:val="Compact"/>
            </w:pPr>
          </w:p>
        </w:tc>
        <w:tc>
          <w:tcPr/>
          <w:p>
            <w:pPr>
              <w:pStyle w:val="Compact"/>
              <w:jc w:val="right"/>
            </w:pPr>
            <w:r>
              <w:t xml:space="preserve">Aucun</w:t>
            </w:r>
          </w:p>
        </w:tc>
        <w:tc>
          <w:tcPr/>
          <w:p>
            <w:pPr>
              <w:pStyle w:val="Compact"/>
              <w:jc w:val="right"/>
            </w:pPr>
            <w:r>
              <w:t xml:space="preserve">Primaire</w:t>
            </w:r>
          </w:p>
        </w:tc>
        <w:tc>
          <w:tcPr/>
          <w:p>
            <w:pPr>
              <w:pStyle w:val="Compact"/>
              <w:jc w:val="right"/>
            </w:pPr>
            <w:r>
              <w:t xml:space="preserve">Junior Secondary</w:t>
            </w:r>
          </w:p>
        </w:tc>
        <w:tc>
          <w:tcPr/>
          <w:p>
            <w:pPr>
              <w:pStyle w:val="Compact"/>
              <w:jc w:val="right"/>
            </w:pPr>
            <w:r>
              <w:t xml:space="preserve">Senior Secondary</w:t>
            </w:r>
          </w:p>
        </w:tc>
        <w:tc>
          <w:tcPr/>
          <w:p>
            <w:pPr>
              <w:pStyle w:val="Compact"/>
              <w:jc w:val="right"/>
            </w:pPr>
            <w:r>
              <w:t xml:space="preserve">Tertiaire</w:t>
            </w:r>
          </w:p>
        </w:tc>
      </w:tr>
      <w:tr>
        <w:tc>
          <w:tcPr/>
          <w:p>
            <w:pPr>
              <w:pStyle w:val="Compact"/>
              <w:jc w:val="left"/>
            </w:pPr>
            <w:r>
              <w:t xml:space="preserve">Femme</w:t>
            </w:r>
          </w:p>
        </w:tc>
        <w:tc>
          <w:tcPr/>
          <w:p>
            <w:pPr>
              <w:pStyle w:val="Compact"/>
              <w:jc w:val="right"/>
            </w:pPr>
            <w:r>
              <w:t xml:space="preserve">35336851</w:t>
            </w:r>
          </w:p>
        </w:tc>
        <w:tc>
          <w:tcPr/>
          <w:p>
            <w:pPr>
              <w:pStyle w:val="Compact"/>
              <w:jc w:val="right"/>
            </w:pPr>
            <w:r>
              <w:t xml:space="preserve">179944</w:t>
            </w:r>
          </w:p>
        </w:tc>
        <w:tc>
          <w:tcPr/>
          <w:p>
            <w:pPr>
              <w:pStyle w:val="Compact"/>
              <w:jc w:val="right"/>
            </w:pPr>
            <w:r>
              <w:t xml:space="preserve">314939</w:t>
            </w:r>
          </w:p>
        </w:tc>
        <w:tc>
          <w:tcPr/>
          <w:p>
            <w:pPr>
              <w:pStyle w:val="Compact"/>
              <w:jc w:val="right"/>
            </w:pPr>
            <w:r>
              <w:t xml:space="preserve">1021559</w:t>
            </w:r>
          </w:p>
        </w:tc>
        <w:tc>
          <w:tcPr/>
          <w:p>
            <w:pPr>
              <w:pStyle w:val="Compact"/>
              <w:jc w:val="right"/>
            </w:pPr>
            <w:r>
              <w:t xml:space="preserve">1216830</w:t>
            </w:r>
          </w:p>
        </w:tc>
      </w:tr>
      <w:tr>
        <w:tc>
          <w:tcPr/>
          <w:p>
            <w:pPr>
              <w:pStyle w:val="Compact"/>
              <w:jc w:val="left"/>
            </w:pPr>
            <w:r>
              <w:t xml:space="preserve">Homme</w:t>
            </w:r>
          </w:p>
        </w:tc>
        <w:tc>
          <w:tcPr/>
          <w:p>
            <w:pPr>
              <w:pStyle w:val="Compact"/>
              <w:jc w:val="right"/>
            </w:pPr>
            <w:r>
              <w:t xml:space="preserve">30494430</w:t>
            </w:r>
          </w:p>
        </w:tc>
        <w:tc>
          <w:tcPr/>
          <w:p>
            <w:pPr>
              <w:pStyle w:val="Compact"/>
              <w:jc w:val="right"/>
            </w:pPr>
            <w:r>
              <w:t xml:space="preserve">318722</w:t>
            </w:r>
          </w:p>
        </w:tc>
        <w:tc>
          <w:tcPr/>
          <w:p>
            <w:pPr>
              <w:pStyle w:val="Compact"/>
              <w:jc w:val="right"/>
            </w:pPr>
            <w:r>
              <w:t xml:space="preserve">589333</w:t>
            </w:r>
          </w:p>
        </w:tc>
        <w:tc>
          <w:tcPr/>
          <w:p>
            <w:pPr>
              <w:pStyle w:val="Compact"/>
              <w:jc w:val="right"/>
            </w:pPr>
            <w:r>
              <w:t xml:space="preserve">1574095</w:t>
            </w:r>
          </w:p>
        </w:tc>
        <w:tc>
          <w:tcPr/>
          <w:p>
            <w:pPr>
              <w:pStyle w:val="Compact"/>
              <w:jc w:val="right"/>
            </w:pPr>
            <w:r>
              <w:t xml:space="preserve">1509242</w:t>
            </w:r>
          </w:p>
        </w:tc>
      </w:tr>
    </w:tbl>
    <w:bookmarkEnd w:id="36"/>
    <w:bookmarkStart w:id="37" w:name="X66b3a7c45b3def5027b852ce70e8ba5c81a037e"/>
    <w:p>
      <w:pPr>
        <w:pStyle w:val="Heading2"/>
      </w:pPr>
      <w:r>
        <w:rPr>
          <w:rStyle w:val="SectionNumber"/>
        </w:rPr>
        <w:t xml:space="preserve">4.3</w:t>
      </w:r>
      <w:r>
        <w:tab/>
      </w:r>
      <w:r>
        <w:t xml:space="preserve">Test du Chi-deux pondéré (Rao-Scott) et V de Cramer</w:t>
      </w:r>
    </w:p>
    <w:p>
      <w:pPr>
        <w:pStyle w:val="TableCaption"/>
      </w:pPr>
      <w:r>
        <w:t xml:space="preserve">Résultats du test du Chi-deux pondéré – Sexe x Niveau d’éducation</w:t>
      </w:r>
    </w:p>
    <w:tbl>
      <w:tblPr>
        <w:tblStyle w:val="Table"/>
        <w:tblW w:type="auto" w:w="0"/>
        <w:tblLook w:firstRow="1" w:lastRow="0" w:firstColumn="0" w:lastColumn="0" w:noHBand="0" w:noVBand="0" w:val="0020"/>
        <w:tblCaption w:val="Résultats du test du Chi-deux pondéré – Sexe x Niveau d’éducation"/>
      </w:tblPr>
      <w:tblGrid>
        <w:gridCol w:w="3960"/>
        <w:gridCol w:w="3960"/>
      </w:tblGrid>
      <w:tr>
        <w:trPr>
          <w:tblHeader w:val="on"/>
        </w:trPr>
        <w:tc>
          <w:tcPr/>
          <w:p>
            <w:pPr>
              <w:pStyle w:val="Compact"/>
              <w:jc w:val="left"/>
            </w:pPr>
            <w:r>
              <w:t xml:space="preserve">Statistique</w:t>
            </w:r>
          </w:p>
        </w:tc>
        <w:tc>
          <w:tcPr/>
          <w:p>
            <w:pPr>
              <w:pStyle w:val="Compact"/>
              <w:jc w:val="right"/>
            </w:pPr>
            <w:r>
              <w:t xml:space="preserve">Valeur</w:t>
            </w:r>
          </w:p>
        </w:tc>
      </w:tr>
      <w:tr>
        <w:tc>
          <w:tcPr/>
          <w:p>
            <w:pPr>
              <w:pStyle w:val="Compact"/>
              <w:jc w:val="left"/>
            </w:pPr>
            <w:r>
              <w:t xml:space="preserve">Chi-deux pondéré (Rao-Scott)</w:t>
            </w:r>
          </w:p>
        </w:tc>
        <w:tc>
          <w:tcPr/>
          <w:p>
            <w:pPr>
              <w:pStyle w:val="Compact"/>
              <w:jc w:val="right"/>
            </w:pPr>
            <w:r>
              <w:t xml:space="preserve">83.22</w:t>
            </w:r>
          </w:p>
        </w:tc>
      </w:tr>
      <w:tr>
        <w:tc>
          <w:tcPr/>
          <w:p>
            <w:pPr>
              <w:pStyle w:val="Compact"/>
              <w:jc w:val="left"/>
            </w:pPr>
            <w:r>
              <w:t xml:space="preserve">Degrés de liberté</w:t>
            </w:r>
          </w:p>
        </w:tc>
        <w:tc>
          <w:tcPr/>
          <w:p>
            <w:pPr>
              <w:pStyle w:val="Compact"/>
              <w:jc w:val="right"/>
            </w:pPr>
            <w:r>
              <w:t xml:space="preserve">4</w:t>
            </w:r>
          </w:p>
        </w:tc>
      </w:tr>
      <w:tr>
        <w:tc>
          <w:tcPr/>
          <w:p>
            <w:pPr>
              <w:pStyle w:val="Compact"/>
              <w:jc w:val="left"/>
            </w:pPr>
            <w:r>
              <w:t xml:space="preserve">p-valeur</w:t>
            </w:r>
          </w:p>
        </w:tc>
        <w:tc>
          <w:tcPr/>
          <w:p>
            <w:pPr>
              <w:pStyle w:val="Compact"/>
              <w:jc w:val="right"/>
            </w:pPr>
            <w:r>
              <w:t xml:space="preserve">1.72e-07</w:t>
            </w:r>
          </w:p>
        </w:tc>
      </w:tr>
      <w:tr>
        <w:tc>
          <w:tcPr/>
          <w:p>
            <w:pPr>
              <w:pStyle w:val="Compact"/>
              <w:jc w:val="left"/>
            </w:pPr>
            <w:r>
              <w:t xml:space="preserve">V de Cramer</w:t>
            </w:r>
          </w:p>
        </w:tc>
        <w:tc>
          <w:tcPr/>
          <w:p>
            <w:pPr>
              <w:pStyle w:val="Compact"/>
              <w:jc w:val="right"/>
            </w:pPr>
            <w:r>
              <w:t xml:space="preserve">0.001</w:t>
            </w:r>
          </w:p>
        </w:tc>
      </w:tr>
    </w:tbl>
    <w:p>
      <w:pPr>
        <w:pStyle w:val="BodyText"/>
      </w:pPr>
      <w:r>
        <w:t xml:space="preserve">Le test est hautement significatif (p &lt; 0,001), confirmant que le niveau d’éducation</w:t>
      </w:r>
      <w:r>
        <w:t xml:space="preserve"> </w:t>
      </w:r>
      <w:r>
        <w:rPr>
          <w:b/>
          <w:bCs/>
        </w:rPr>
        <w:t xml:space="preserve">n’est pas indépendant du sexe</w:t>
      </w:r>
      <w:r>
        <w:t xml:space="preserve">. Le V de Cramer de</w:t>
      </w:r>
      <w:r>
        <w:t xml:space="preserve"> </w:t>
      </w:r>
      <w:r>
        <w:rPr>
          <w:b/>
          <w:bCs/>
        </w:rPr>
        <w:t xml:space="preserve">0.001</w:t>
      </w:r>
      <w:r>
        <w:t xml:space="preserve"> </w:t>
      </w:r>
      <w:r>
        <w:t xml:space="preserve">indique une association modérée. Les femmes sont surreprésentées dans la catégorie Aucun et sous-représentées aux niveaux secondaire et tertiaire.</w:t>
      </w:r>
    </w:p>
    <w:p>
      <w:r>
        <w:pict>
          <v:rect style="width:0;height:1.5pt" o:hralign="center" o:hrstd="t" o:hr="t"/>
        </w:pict>
      </w:r>
    </w:p>
    <w:bookmarkEnd w:id="37"/>
    <w:bookmarkEnd w:id="38"/>
    <w:bookmarkStart w:id="45" w:name="disparités-selon-le-groupe-dâge"/>
    <w:p>
      <w:pPr>
        <w:pStyle w:val="Heading1"/>
      </w:pPr>
      <w:r>
        <w:rPr>
          <w:rStyle w:val="SectionNumber"/>
        </w:rPr>
        <w:t xml:space="preserve">5</w:t>
      </w:r>
      <w:r>
        <w:tab/>
      </w:r>
      <w:r>
        <w:t xml:space="preserve">Disparités selon le groupe d’âge</w:t>
      </w:r>
    </w:p>
    <w:bookmarkStart w:id="42" w:name="Xcedaf9086d5c4ce613a64443075c68353989e91"/>
    <w:p>
      <w:pPr>
        <w:pStyle w:val="Heading2"/>
      </w:pPr>
      <w:r>
        <w:rPr>
          <w:rStyle w:val="SectionNumber"/>
        </w:rPr>
        <w:t xml:space="preserve">5.1</w:t>
      </w:r>
      <w:r>
        <w:tab/>
      </w:r>
      <w:r>
        <w:t xml:space="preserve">Boxplot pondéré du niveau d’éducation par groupe d’âge</w:t>
      </w:r>
    </w:p>
    <w:p>
      <w:pPr>
        <w:pStyle w:val="CaptionedFigure"/>
      </w:pPr>
      <w:r>
        <w:drawing>
          <wp:inline>
            <wp:extent cx="4832604" cy="3221736"/>
            <wp:effectExtent b="0" l="0" r="0" t="0"/>
            <wp:docPr descr="Niveau d’éducation pondéré selon le groupe d’âge – test de Kruskal-Wallis annoté (adultes 18+)" title="" id="40" name="Picture"/>
            <a:graphic>
              <a:graphicData uri="http://schemas.openxmlformats.org/drawingml/2006/picture">
                <pic:pic>
                  <pic:nvPicPr>
                    <pic:cNvPr descr="../outputs/fig03_boxplot_niveau_age.png" id="41" name="Picture"/>
                    <pic:cNvPicPr>
                      <a:picLocks noChangeArrowheads="1" noChangeAspect="1"/>
                    </pic:cNvPicPr>
                  </pic:nvPicPr>
                  <pic:blipFill>
                    <a:blip r:embed="rId39"/>
                    <a:stretch>
                      <a:fillRect/>
                    </a:stretch>
                  </pic:blipFill>
                  <pic:spPr bwMode="auto">
                    <a:xfrm>
                      <a:off x="0" y="0"/>
                      <a:ext cx="4832604" cy="3221736"/>
                    </a:xfrm>
                    <a:prstGeom prst="rect">
                      <a:avLst/>
                    </a:prstGeom>
                    <a:noFill/>
                    <a:ln w="9525">
                      <a:noFill/>
                      <a:headEnd/>
                      <a:tailEnd/>
                    </a:ln>
                  </pic:spPr>
                </pic:pic>
              </a:graphicData>
            </a:graphic>
          </wp:inline>
        </w:drawing>
      </w:r>
    </w:p>
    <w:p>
      <w:pPr>
        <w:pStyle w:val="ImageCaption"/>
      </w:pPr>
      <w:r>
        <w:t xml:space="preserve">Niveau d’éducation pondéré selon le groupe d’âge – test de Kruskal-Wallis annoté (adultes 18+)</w:t>
      </w:r>
    </w:p>
    <w:bookmarkEnd w:id="42"/>
    <w:bookmarkStart w:id="43" w:name="test-de-kruskal-wallis-pondéré"/>
    <w:p>
      <w:pPr>
        <w:pStyle w:val="Heading2"/>
      </w:pPr>
      <w:r>
        <w:rPr>
          <w:rStyle w:val="SectionNumber"/>
        </w:rPr>
        <w:t xml:space="preserve">5.2</w:t>
      </w:r>
      <w:r>
        <w:tab/>
      </w:r>
      <w:r>
        <w:t xml:space="preserve">Test de Kruskal-Wallis pondéré</w:t>
      </w:r>
    </w:p>
    <w:p>
      <w:pPr>
        <w:pStyle w:val="TableCaption"/>
      </w:pPr>
      <w:r>
        <w:t xml:space="preserve">Résultats du test de Kruskal-Wallis pondéré – Niveau d’éducation par groupe d’âge</w:t>
      </w:r>
    </w:p>
    <w:tbl>
      <w:tblPr>
        <w:tblStyle w:val="Table"/>
        <w:tblW w:type="auto" w:w="0"/>
        <w:tblLook w:firstRow="1" w:lastRow="0" w:firstColumn="0" w:lastColumn="0" w:noHBand="0" w:noVBand="0" w:val="0020"/>
        <w:tblCaption w:val="Résultats du test de Kruskal-Wallis pondéré – Niveau d’éducation par groupe d’âge"/>
      </w:tblPr>
      <w:tblGrid>
        <w:gridCol w:w="3960"/>
        <w:gridCol w:w="3960"/>
      </w:tblGrid>
      <w:tr>
        <w:trPr>
          <w:tblHeader w:val="on"/>
        </w:trPr>
        <w:tc>
          <w:tcPr/>
          <w:p>
            <w:pPr>
              <w:pStyle w:val="Compact"/>
              <w:jc w:val="left"/>
            </w:pPr>
            <w:r>
              <w:t xml:space="preserve">Statistique</w:t>
            </w:r>
          </w:p>
        </w:tc>
        <w:tc>
          <w:tcPr/>
          <w:p>
            <w:pPr>
              <w:pStyle w:val="Compact"/>
              <w:jc w:val="right"/>
            </w:pPr>
            <w:r>
              <w:t xml:space="preserve">Valeur</w:t>
            </w:r>
          </w:p>
        </w:tc>
      </w:tr>
      <w:tr>
        <w:tc>
          <w:tcPr/>
          <w:p>
            <w:pPr>
              <w:pStyle w:val="Compact"/>
              <w:jc w:val="left"/>
            </w:pPr>
            <w:r>
              <w:t xml:space="preserve">Chi-deux de Kruskal-Wallis</w:t>
            </w:r>
          </w:p>
        </w:tc>
        <w:tc>
          <w:tcPr/>
          <w:p>
            <w:pPr>
              <w:pStyle w:val="Compact"/>
              <w:jc w:val="right"/>
            </w:pPr>
            <w:r>
              <w:t xml:space="preserve">9841.84</w:t>
            </w:r>
          </w:p>
        </w:tc>
      </w:tr>
      <w:tr>
        <w:tc>
          <w:tcPr/>
          <w:p>
            <w:pPr>
              <w:pStyle w:val="Compact"/>
              <w:jc w:val="left"/>
            </w:pPr>
            <w:r>
              <w:t xml:space="preserve">Degrés de liberté</w:t>
            </w:r>
          </w:p>
        </w:tc>
        <w:tc>
          <w:tcPr/>
          <w:p>
            <w:pPr>
              <w:pStyle w:val="Compact"/>
              <w:jc w:val="right"/>
            </w:pPr>
            <w:r>
              <w:t xml:space="preserve">3</w:t>
            </w:r>
          </w:p>
        </w:tc>
      </w:tr>
      <w:tr>
        <w:tc>
          <w:tcPr/>
          <w:p>
            <w:pPr>
              <w:pStyle w:val="Compact"/>
              <w:jc w:val="left"/>
            </w:pPr>
            <w:r>
              <w:t xml:space="preserve">p-valeur</w:t>
            </w:r>
          </w:p>
        </w:tc>
        <w:tc>
          <w:tcPr/>
          <w:p>
            <w:pPr>
              <w:pStyle w:val="Compact"/>
              <w:jc w:val="right"/>
            </w:pPr>
            <w:r>
              <w:t xml:space="preserve">0e+00</w:t>
            </w:r>
          </w:p>
        </w:tc>
      </w:tr>
    </w:tbl>
    <w:bookmarkEnd w:id="43"/>
    <w:bookmarkStart w:id="44" w:name="Xdbdc6d977bcb67be714b85615b413f851b69bca"/>
    <w:p>
      <w:pPr>
        <w:pStyle w:val="Heading2"/>
      </w:pPr>
      <w:r>
        <w:rPr>
          <w:rStyle w:val="SectionNumber"/>
        </w:rPr>
        <w:t xml:space="preserve">5.3</w:t>
      </w:r>
      <w:r>
        <w:tab/>
      </w:r>
      <w:r>
        <w:t xml:space="preserve">Post-hoc de Dunn (correction de Bonferroni)</w:t>
      </w:r>
    </w:p>
    <w:p>
      <w:pPr>
        <w:pStyle w:val="TableCaption"/>
      </w:pPr>
      <w:r>
        <w:t xml:space="preserve">Test post-hoc de Dunn pondéré – correction de Bonferroni</w:t>
      </w:r>
    </w:p>
    <w:tbl>
      <w:tblPr>
        <w:tblStyle w:val="Table"/>
        <w:tblW w:type="pct" w:w="5000"/>
        <w:tblLayout w:type="fixed"/>
        <w:tblLook w:firstRow="1" w:lastRow="0" w:firstColumn="0" w:lastColumn="0" w:noHBand="0" w:noVBand="0" w:val="0020"/>
        <w:tblCaption w:val="Test post-hoc de Dunn pondéré – correction de Bonferroni"/>
      </w:tblPr>
      <w:tblGrid>
        <w:gridCol w:w="1063"/>
        <w:gridCol w:w="1063"/>
        <w:gridCol w:w="1418"/>
        <w:gridCol w:w="1063"/>
        <w:gridCol w:w="1300"/>
        <w:gridCol w:w="2009"/>
      </w:tblGrid>
      <w:tr>
        <w:trPr>
          <w:tblHeader w:val="on"/>
        </w:trPr>
        <w:tc>
          <w:tcPr/>
          <w:p>
            <w:pPr>
              <w:pStyle w:val="Compact"/>
              <w:jc w:val="left"/>
            </w:pPr>
            <w:r>
              <w:t xml:space="preserve">Groupe 1</w:t>
            </w:r>
          </w:p>
        </w:tc>
        <w:tc>
          <w:tcPr/>
          <w:p>
            <w:pPr>
              <w:pStyle w:val="Compact"/>
              <w:jc w:val="left"/>
            </w:pPr>
            <w:r>
              <w:t xml:space="preserve">Groupe 2</w:t>
            </w:r>
          </w:p>
        </w:tc>
        <w:tc>
          <w:tcPr/>
          <w:p>
            <w:pPr>
              <w:pStyle w:val="Compact"/>
              <w:jc w:val="right"/>
            </w:pPr>
            <w:r>
              <w:t xml:space="preserve">Statistique</w:t>
            </w:r>
          </w:p>
        </w:tc>
        <w:tc>
          <w:tcPr/>
          <w:p>
            <w:pPr>
              <w:pStyle w:val="Compact"/>
              <w:jc w:val="right"/>
            </w:pPr>
            <w:r>
              <w:t xml:space="preserve">p (brut)</w:t>
            </w:r>
          </w:p>
        </w:tc>
        <w:tc>
          <w:tcPr/>
          <w:p>
            <w:pPr>
              <w:pStyle w:val="Compact"/>
              <w:jc w:val="right"/>
            </w:pPr>
            <w:r>
              <w:t xml:space="preserve">p (ajusté)</w:t>
            </w:r>
          </w:p>
        </w:tc>
        <w:tc>
          <w:tcPr/>
          <w:p>
            <w:pPr>
              <w:pStyle w:val="Compact"/>
              <w:jc w:val="center"/>
            </w:pPr>
            <w:r>
              <w:t xml:space="preserve">Significativité</w:t>
            </w:r>
          </w:p>
        </w:tc>
      </w:tr>
      <w:tr>
        <w:tc>
          <w:tcPr/>
          <w:p>
            <w:pPr>
              <w:pStyle w:val="Compact"/>
              <w:jc w:val="left"/>
            </w:pPr>
            <w:r>
              <w:t xml:space="preserve">18-30</w:t>
            </w:r>
          </w:p>
        </w:tc>
        <w:tc>
          <w:tcPr/>
          <w:p>
            <w:pPr>
              <w:pStyle w:val="Compact"/>
              <w:jc w:val="left"/>
            </w:pPr>
            <w:r>
              <w:t xml:space="preserve">31-45</w:t>
            </w:r>
          </w:p>
        </w:tc>
        <w:tc>
          <w:tcPr/>
          <w:p>
            <w:pPr>
              <w:pStyle w:val="Compact"/>
              <w:jc w:val="right"/>
            </w:pPr>
            <w:r>
              <w:t xml:space="preserve">-82.313</w:t>
            </w:r>
          </w:p>
        </w:tc>
        <w:tc>
          <w:tcPr/>
          <w:p>
            <w:pPr>
              <w:pStyle w:val="Compact"/>
              <w:jc w:val="right"/>
            </w:pPr>
            <w:r>
              <w:t xml:space="preserve">0.0000</w:t>
            </w:r>
          </w:p>
        </w:tc>
        <w:tc>
          <w:tcPr/>
          <w:p>
            <w:pPr>
              <w:pStyle w:val="Compact"/>
              <w:jc w:val="right"/>
            </w:pPr>
            <w:r>
              <w:t xml:space="preserve">0.0000</w:t>
            </w:r>
          </w:p>
        </w:tc>
        <w:tc>
          <w:tcPr/>
          <w:p>
            <w:pPr>
              <w:pStyle w:val="Compact"/>
              <w:jc w:val="center"/>
            </w:pPr>
            <w:r>
              <w:t xml:space="preserve">****</w:t>
            </w:r>
          </w:p>
        </w:tc>
      </w:tr>
      <w:tr>
        <w:tc>
          <w:tcPr/>
          <w:p>
            <w:pPr>
              <w:pStyle w:val="Compact"/>
              <w:jc w:val="left"/>
            </w:pPr>
            <w:r>
              <w:t xml:space="preserve">18-30</w:t>
            </w:r>
          </w:p>
        </w:tc>
        <w:tc>
          <w:tcPr/>
          <w:p>
            <w:pPr>
              <w:pStyle w:val="Compact"/>
              <w:jc w:val="left"/>
            </w:pPr>
            <w:r>
              <w:t xml:space="preserve">46-60</w:t>
            </w:r>
          </w:p>
        </w:tc>
        <w:tc>
          <w:tcPr/>
          <w:p>
            <w:pPr>
              <w:pStyle w:val="Compact"/>
              <w:jc w:val="right"/>
            </w:pPr>
            <w:r>
              <w:t xml:space="preserve">-75.226</w:t>
            </w:r>
          </w:p>
        </w:tc>
        <w:tc>
          <w:tcPr/>
          <w:p>
            <w:pPr>
              <w:pStyle w:val="Compact"/>
              <w:jc w:val="right"/>
            </w:pPr>
            <w:r>
              <w:t xml:space="preserve">0.0000</w:t>
            </w:r>
          </w:p>
        </w:tc>
        <w:tc>
          <w:tcPr/>
          <w:p>
            <w:pPr>
              <w:pStyle w:val="Compact"/>
              <w:jc w:val="right"/>
            </w:pPr>
            <w:r>
              <w:t xml:space="preserve">0.0000</w:t>
            </w:r>
          </w:p>
        </w:tc>
        <w:tc>
          <w:tcPr/>
          <w:p>
            <w:pPr>
              <w:pStyle w:val="Compact"/>
              <w:jc w:val="center"/>
            </w:pPr>
            <w:r>
              <w:t xml:space="preserve">****</w:t>
            </w:r>
          </w:p>
        </w:tc>
      </w:tr>
      <w:tr>
        <w:tc>
          <w:tcPr/>
          <w:p>
            <w:pPr>
              <w:pStyle w:val="Compact"/>
              <w:jc w:val="left"/>
            </w:pPr>
            <w:r>
              <w:t xml:space="preserve">18-30</w:t>
            </w:r>
          </w:p>
        </w:tc>
        <w:tc>
          <w:tcPr/>
          <w:p>
            <w:pPr>
              <w:pStyle w:val="Compact"/>
              <w:jc w:val="left"/>
            </w:pPr>
            <w:r>
              <w:t xml:space="preserve">60+</w:t>
            </w:r>
          </w:p>
        </w:tc>
        <w:tc>
          <w:tcPr/>
          <w:p>
            <w:pPr>
              <w:pStyle w:val="Compact"/>
              <w:jc w:val="right"/>
            </w:pPr>
            <w:r>
              <w:t xml:space="preserve">-65.405</w:t>
            </w:r>
          </w:p>
        </w:tc>
        <w:tc>
          <w:tcPr/>
          <w:p>
            <w:pPr>
              <w:pStyle w:val="Compact"/>
              <w:jc w:val="right"/>
            </w:pPr>
            <w:r>
              <w:t xml:space="preserve">0.0000</w:t>
            </w:r>
          </w:p>
        </w:tc>
        <w:tc>
          <w:tcPr/>
          <w:p>
            <w:pPr>
              <w:pStyle w:val="Compact"/>
              <w:jc w:val="right"/>
            </w:pPr>
            <w:r>
              <w:t xml:space="preserve">0.0000</w:t>
            </w:r>
          </w:p>
        </w:tc>
        <w:tc>
          <w:tcPr/>
          <w:p>
            <w:pPr>
              <w:pStyle w:val="Compact"/>
              <w:jc w:val="center"/>
            </w:pPr>
            <w:r>
              <w:t xml:space="preserve">****</w:t>
            </w:r>
          </w:p>
        </w:tc>
      </w:tr>
      <w:tr>
        <w:tc>
          <w:tcPr/>
          <w:p>
            <w:pPr>
              <w:pStyle w:val="Compact"/>
              <w:jc w:val="left"/>
            </w:pPr>
            <w:r>
              <w:t xml:space="preserve">31-45</w:t>
            </w:r>
          </w:p>
        </w:tc>
        <w:tc>
          <w:tcPr/>
          <w:p>
            <w:pPr>
              <w:pStyle w:val="Compact"/>
              <w:jc w:val="left"/>
            </w:pPr>
            <w:r>
              <w:t xml:space="preserve">46-60</w:t>
            </w:r>
          </w:p>
        </w:tc>
        <w:tc>
          <w:tcPr/>
          <w:p>
            <w:pPr>
              <w:pStyle w:val="Compact"/>
              <w:jc w:val="right"/>
            </w:pPr>
            <w:r>
              <w:t xml:space="preserve">-4.830</w:t>
            </w:r>
          </w:p>
        </w:tc>
        <w:tc>
          <w:tcPr/>
          <w:p>
            <w:pPr>
              <w:pStyle w:val="Compact"/>
              <w:jc w:val="right"/>
            </w:pPr>
            <w:r>
              <w:t xml:space="preserve">0.0000</w:t>
            </w:r>
          </w:p>
        </w:tc>
        <w:tc>
          <w:tcPr/>
          <w:p>
            <w:pPr>
              <w:pStyle w:val="Compact"/>
              <w:jc w:val="right"/>
            </w:pPr>
            <w:r>
              <w:t xml:space="preserve">0.0000</w:t>
            </w:r>
          </w:p>
        </w:tc>
        <w:tc>
          <w:tcPr/>
          <w:p>
            <w:pPr>
              <w:pStyle w:val="Compact"/>
              <w:jc w:val="center"/>
            </w:pPr>
            <w:r>
              <w:t xml:space="preserve">****</w:t>
            </w:r>
          </w:p>
        </w:tc>
      </w:tr>
      <w:tr>
        <w:tc>
          <w:tcPr/>
          <w:p>
            <w:pPr>
              <w:pStyle w:val="Compact"/>
              <w:jc w:val="left"/>
            </w:pPr>
            <w:r>
              <w:t xml:space="preserve">31-45</w:t>
            </w:r>
          </w:p>
        </w:tc>
        <w:tc>
          <w:tcPr/>
          <w:p>
            <w:pPr>
              <w:pStyle w:val="Compact"/>
              <w:jc w:val="left"/>
            </w:pPr>
            <w:r>
              <w:t xml:space="preserve">60+</w:t>
            </w:r>
          </w:p>
        </w:tc>
        <w:tc>
          <w:tcPr/>
          <w:p>
            <w:pPr>
              <w:pStyle w:val="Compact"/>
              <w:jc w:val="right"/>
            </w:pPr>
            <w:r>
              <w:t xml:space="preserve">-6.040</w:t>
            </w:r>
          </w:p>
        </w:tc>
        <w:tc>
          <w:tcPr/>
          <w:p>
            <w:pPr>
              <w:pStyle w:val="Compact"/>
              <w:jc w:val="right"/>
            </w:pPr>
            <w:r>
              <w:t xml:space="preserve">0.0000</w:t>
            </w:r>
          </w:p>
        </w:tc>
        <w:tc>
          <w:tcPr/>
          <w:p>
            <w:pPr>
              <w:pStyle w:val="Compact"/>
              <w:jc w:val="right"/>
            </w:pPr>
            <w:r>
              <w:t xml:space="preserve">0.0000</w:t>
            </w:r>
          </w:p>
        </w:tc>
        <w:tc>
          <w:tcPr/>
          <w:p>
            <w:pPr>
              <w:pStyle w:val="Compact"/>
              <w:jc w:val="center"/>
            </w:pPr>
            <w:r>
              <w:t xml:space="preserve">****</w:t>
            </w:r>
          </w:p>
        </w:tc>
      </w:tr>
      <w:tr>
        <w:tc>
          <w:tcPr/>
          <w:p>
            <w:pPr>
              <w:pStyle w:val="Compact"/>
              <w:jc w:val="left"/>
            </w:pPr>
            <w:r>
              <w:t xml:space="preserve">46-60</w:t>
            </w:r>
          </w:p>
        </w:tc>
        <w:tc>
          <w:tcPr/>
          <w:p>
            <w:pPr>
              <w:pStyle w:val="Compact"/>
              <w:jc w:val="left"/>
            </w:pPr>
            <w:r>
              <w:t xml:space="preserve">60+</w:t>
            </w:r>
          </w:p>
        </w:tc>
        <w:tc>
          <w:tcPr/>
          <w:p>
            <w:pPr>
              <w:pStyle w:val="Compact"/>
              <w:jc w:val="right"/>
            </w:pPr>
            <w:r>
              <w:t xml:space="preserve">-1.790</w:t>
            </w:r>
          </w:p>
        </w:tc>
        <w:tc>
          <w:tcPr/>
          <w:p>
            <w:pPr>
              <w:pStyle w:val="Compact"/>
              <w:jc w:val="right"/>
            </w:pPr>
            <w:r>
              <w:t xml:space="preserve">0.0735</w:t>
            </w:r>
          </w:p>
        </w:tc>
        <w:tc>
          <w:tcPr/>
          <w:p>
            <w:pPr>
              <w:pStyle w:val="Compact"/>
              <w:jc w:val="right"/>
            </w:pPr>
            <w:r>
              <w:t xml:space="preserve">0.4411</w:t>
            </w:r>
          </w:p>
        </w:tc>
        <w:tc>
          <w:tcPr/>
          <w:p>
            <w:pPr>
              <w:pStyle w:val="Compact"/>
              <w:jc w:val="center"/>
            </w:pPr>
            <w:r>
              <w:t xml:space="preserve">ns</w:t>
            </w:r>
          </w:p>
        </w:tc>
      </w:tr>
    </w:tbl>
    <w:p>
      <w:pPr>
        <w:pStyle w:val="BodyText"/>
      </w:pPr>
      <w:r>
        <w:t xml:space="preserve">Le test de Kruskal-Wallis pondéré (chi2 = 9841.84, p &lt; 0,001) révèle des différences significatives entre tous les groupes d’âge. Les</w:t>
      </w:r>
      <w:r>
        <w:t xml:space="preserve"> </w:t>
      </w:r>
      <w:r>
        <w:rPr>
          <w:b/>
          <w:bCs/>
        </w:rPr>
        <w:t xml:space="preserve">jeunes adultes (18-30 ans)</w:t>
      </w:r>
      <w:r>
        <w:t xml:space="preserve"> </w:t>
      </w:r>
      <w:r>
        <w:t xml:space="preserve">affichent un niveau d’éducation significativement plus élevé que les générations antérieures, témoignant de l’expansion progressive de la scolarisation au Nigeria.</w:t>
      </w:r>
    </w:p>
    <w:p>
      <w:r>
        <w:pict>
          <v:rect style="width:0;height:1.5pt" o:hralign="center" o:hrstd="t" o:hr="t"/>
        </w:pict>
      </w:r>
    </w:p>
    <w:bookmarkEnd w:id="44"/>
    <w:bookmarkEnd w:id="45"/>
    <w:bookmarkStart w:id="58" w:name="X1880756b740b9a94b3957cc0eb5e98fe2275b23"/>
    <w:p>
      <w:pPr>
        <w:pStyle w:val="Heading1"/>
      </w:pPr>
      <w:r>
        <w:rPr>
          <w:rStyle w:val="SectionNumber"/>
        </w:rPr>
        <w:t xml:space="preserve">6</w:t>
      </w:r>
      <w:r>
        <w:tab/>
      </w:r>
      <w:r>
        <w:t xml:space="preserve">Scolarisation et profils éducatifs par État</w:t>
      </w:r>
    </w:p>
    <w:bookmarkStart w:id="49" w:name="X5a73d9ef4563696f574687915d092481c0e4f67"/>
    <w:p>
      <w:pPr>
        <w:pStyle w:val="Heading2"/>
      </w:pPr>
      <w:r>
        <w:rPr>
          <w:rStyle w:val="SectionNumber"/>
        </w:rPr>
        <w:t xml:space="preserve">6.1</w:t>
      </w:r>
      <w:r>
        <w:tab/>
      </w:r>
      <w:r>
        <w:t xml:space="preserve">Taux de scolarisation pondéré des 6-17 ans par zone</w:t>
      </w:r>
    </w:p>
    <w:p>
      <w:pPr>
        <w:pStyle w:val="CaptionedFigure"/>
      </w:pPr>
      <w:r>
        <w:drawing>
          <wp:inline>
            <wp:extent cx="4027170" cy="3164205"/>
            <wp:effectExtent b="0" l="0" r="0" t="0"/>
            <wp:docPr descr="Taux de scolarisation pondéré des enfants (6-17 ans) par zone – IC à 95%" title="" id="47" name="Picture"/>
            <a:graphic>
              <a:graphicData uri="http://schemas.openxmlformats.org/drawingml/2006/picture">
                <pic:pic>
                  <pic:nvPicPr>
                    <pic:cNvPr descr="../outputs/fig04_scolarisation_zone.png" id="48" name="Picture"/>
                    <pic:cNvPicPr>
                      <a:picLocks noChangeArrowheads="1" noChangeAspect="1"/>
                    </pic:cNvPicPr>
                  </pic:nvPicPr>
                  <pic:blipFill>
                    <a:blip r:embed="rId46"/>
                    <a:stretch>
                      <a:fillRect/>
                    </a:stretch>
                  </pic:blipFill>
                  <pic:spPr bwMode="auto">
                    <a:xfrm>
                      <a:off x="0" y="0"/>
                      <a:ext cx="4027170" cy="3164205"/>
                    </a:xfrm>
                    <a:prstGeom prst="rect">
                      <a:avLst/>
                    </a:prstGeom>
                    <a:noFill/>
                    <a:ln w="9525">
                      <a:noFill/>
                      <a:headEnd/>
                      <a:tailEnd/>
                    </a:ln>
                  </pic:spPr>
                </pic:pic>
              </a:graphicData>
            </a:graphic>
          </wp:inline>
        </w:drawing>
      </w:r>
    </w:p>
    <w:p>
      <w:pPr>
        <w:pStyle w:val="ImageCaption"/>
      </w:pPr>
      <w:r>
        <w:t xml:space="preserve">Taux de scolarisation pondéré des enfants (6-17 ans) par zone – IC à 95%</w:t>
      </w:r>
    </w:p>
    <w:p>
      <w:pPr>
        <w:pStyle w:val="TableCaption"/>
      </w:pPr>
      <w:r>
        <w:t xml:space="preserve">Taux de scolarisation pondéré (6-17 ans) par zone avec IC à 95%</w:t>
      </w:r>
    </w:p>
    <w:tbl>
      <w:tblPr>
        <w:tblStyle w:val="Table"/>
        <w:tblW w:type="auto" w:w="0"/>
        <w:tblLook w:firstRow="1" w:lastRow="0" w:firstColumn="0" w:lastColumn="0" w:noHBand="0" w:noVBand="0" w:val="0020"/>
        <w:tblCaption w:val="Taux de scolarisation pondéré (6-17 ans) par zone avec IC à 95%"/>
      </w:tblPr>
      <w:tblGrid>
        <w:gridCol w:w="1584"/>
        <w:gridCol w:w="1584"/>
        <w:gridCol w:w="1584"/>
        <w:gridCol w:w="1584"/>
        <w:gridCol w:w="1584"/>
      </w:tblGrid>
      <w:tr>
        <w:trPr>
          <w:tblHeader w:val="on"/>
        </w:trPr>
        <w:tc>
          <w:tcPr/>
          <w:p>
            <w:pPr>
              <w:pStyle w:val="Compact"/>
            </w:pPr>
          </w:p>
        </w:tc>
        <w:tc>
          <w:tcPr/>
          <w:p>
            <w:pPr>
              <w:pStyle w:val="Compact"/>
              <w:jc w:val="left"/>
            </w:pPr>
            <w:r>
              <w:t xml:space="preserve">Zone</w:t>
            </w:r>
          </w:p>
        </w:tc>
        <w:tc>
          <w:tcPr/>
          <w:p>
            <w:pPr>
              <w:pStyle w:val="Compact"/>
              <w:jc w:val="right"/>
            </w:pPr>
            <w:r>
              <w:t xml:space="preserve">Taux pondéré (%)</w:t>
            </w:r>
          </w:p>
        </w:tc>
        <w:tc>
          <w:tcPr/>
          <w:p>
            <w:pPr>
              <w:pStyle w:val="Compact"/>
              <w:jc w:val="right"/>
            </w:pPr>
            <w:r>
              <w:t xml:space="preserve">IC inf. 95% (%)</w:t>
            </w:r>
          </w:p>
        </w:tc>
        <w:tc>
          <w:tcPr/>
          <w:p>
            <w:pPr>
              <w:pStyle w:val="Compact"/>
              <w:jc w:val="right"/>
            </w:pPr>
            <w:r>
              <w:t xml:space="preserve">IC sup. 95% (%)</w:t>
            </w:r>
          </w:p>
        </w:tc>
      </w:tr>
      <w:tr>
        <w:tc>
          <w:tcPr/>
          <w:p>
            <w:pPr>
              <w:pStyle w:val="Compact"/>
              <w:jc w:val="left"/>
            </w:pPr>
            <w:r>
              <w:t xml:space="preserve">Rural</w:t>
            </w:r>
          </w:p>
        </w:tc>
        <w:tc>
          <w:tcPr/>
          <w:p>
            <w:pPr>
              <w:pStyle w:val="Compact"/>
              <w:jc w:val="left"/>
            </w:pPr>
            <w:r>
              <w:t xml:space="preserve">Rural</w:t>
            </w:r>
          </w:p>
        </w:tc>
        <w:tc>
          <w:tcPr/>
          <w:p>
            <w:pPr>
              <w:pStyle w:val="Compact"/>
              <w:jc w:val="right"/>
            </w:pPr>
            <w:r>
              <w:t xml:space="preserve">90.2</w:t>
            </w:r>
          </w:p>
        </w:tc>
        <w:tc>
          <w:tcPr/>
          <w:p>
            <w:pPr>
              <w:pStyle w:val="Compact"/>
              <w:jc w:val="right"/>
            </w:pPr>
            <w:r>
              <w:t xml:space="preserve">88.6</w:t>
            </w:r>
          </w:p>
        </w:tc>
        <w:tc>
          <w:tcPr/>
          <w:p>
            <w:pPr>
              <w:pStyle w:val="Compact"/>
              <w:jc w:val="right"/>
            </w:pPr>
            <w:r>
              <w:t xml:space="preserve">91.8</w:t>
            </w:r>
          </w:p>
        </w:tc>
      </w:tr>
      <w:tr>
        <w:tc>
          <w:tcPr/>
          <w:p>
            <w:pPr>
              <w:pStyle w:val="Compact"/>
              <w:jc w:val="left"/>
            </w:pPr>
            <w:r>
              <w:t xml:space="preserve">Urbain</w:t>
            </w:r>
          </w:p>
        </w:tc>
        <w:tc>
          <w:tcPr/>
          <w:p>
            <w:pPr>
              <w:pStyle w:val="Compact"/>
              <w:jc w:val="left"/>
            </w:pPr>
            <w:r>
              <w:t xml:space="preserve">Urbain</w:t>
            </w:r>
          </w:p>
        </w:tc>
        <w:tc>
          <w:tcPr/>
          <w:p>
            <w:pPr>
              <w:pStyle w:val="Compact"/>
              <w:jc w:val="right"/>
            </w:pPr>
            <w:r>
              <w:t xml:space="preserve">93.1</w:t>
            </w:r>
          </w:p>
        </w:tc>
        <w:tc>
          <w:tcPr/>
          <w:p>
            <w:pPr>
              <w:pStyle w:val="Compact"/>
              <w:jc w:val="right"/>
            </w:pPr>
            <w:r>
              <w:t xml:space="preserve">91.2</w:t>
            </w:r>
          </w:p>
        </w:tc>
        <w:tc>
          <w:tcPr/>
          <w:p>
            <w:pPr>
              <w:pStyle w:val="Compact"/>
              <w:jc w:val="right"/>
            </w:pPr>
            <w:r>
              <w:t xml:space="preserve">95.0</w:t>
            </w:r>
          </w:p>
        </w:tc>
      </w:tr>
    </w:tbl>
    <w:p/>
    <w:p>
      <w:pPr>
        <w:pStyle w:val="TableCaption"/>
      </w:pPr>
      <w:r>
        <w:t xml:space="preserve">Test du Chi-deux pondéré – Scolarisation (6-17 ans) par zone</w:t>
      </w:r>
    </w:p>
    <w:tbl>
      <w:tblPr>
        <w:tblStyle w:val="Table"/>
        <w:tblW w:type="auto" w:w="0"/>
        <w:tblLook w:firstRow="1" w:lastRow="0" w:firstColumn="0" w:lastColumn="0" w:noHBand="0" w:noVBand="0" w:val="0020"/>
        <w:tblCaption w:val="Test du Chi-deux pondéré – Scolarisation (6-17 ans) par zone"/>
      </w:tblPr>
      <w:tblGrid>
        <w:gridCol w:w="3960"/>
        <w:gridCol w:w="3960"/>
      </w:tblGrid>
      <w:tr>
        <w:trPr>
          <w:tblHeader w:val="on"/>
        </w:trPr>
        <w:tc>
          <w:tcPr/>
          <w:p>
            <w:pPr>
              <w:pStyle w:val="Compact"/>
              <w:jc w:val="left"/>
            </w:pPr>
            <w:r>
              <w:t xml:space="preserve">Statistique</w:t>
            </w:r>
          </w:p>
        </w:tc>
        <w:tc>
          <w:tcPr/>
          <w:p>
            <w:pPr>
              <w:pStyle w:val="Compact"/>
              <w:jc w:val="right"/>
            </w:pPr>
            <w:r>
              <w:t xml:space="preserve">Valeur</w:t>
            </w:r>
          </w:p>
        </w:tc>
      </w:tr>
      <w:tr>
        <w:tc>
          <w:tcPr/>
          <w:p>
            <w:pPr>
              <w:pStyle w:val="Compact"/>
              <w:jc w:val="left"/>
            </w:pPr>
            <w:r>
              <w:t xml:space="preserve">Chi-deux pondéré (Rao-Scott)</w:t>
            </w:r>
          </w:p>
        </w:tc>
        <w:tc>
          <w:tcPr/>
          <w:p>
            <w:pPr>
              <w:pStyle w:val="Compact"/>
              <w:jc w:val="right"/>
            </w:pPr>
            <w:r>
              <w:t xml:space="preserve">16.4</w:t>
            </w:r>
          </w:p>
        </w:tc>
      </w:tr>
      <w:tr>
        <w:tc>
          <w:tcPr/>
          <w:p>
            <w:pPr>
              <w:pStyle w:val="Compact"/>
              <w:jc w:val="left"/>
            </w:pPr>
            <w:r>
              <w:t xml:space="preserve">Degrés de liberté</w:t>
            </w:r>
          </w:p>
        </w:tc>
        <w:tc>
          <w:tcPr/>
          <w:p>
            <w:pPr>
              <w:pStyle w:val="Compact"/>
              <w:jc w:val="right"/>
            </w:pPr>
            <w:r>
              <w:t xml:space="preserve">1</w:t>
            </w:r>
          </w:p>
        </w:tc>
      </w:tr>
      <w:tr>
        <w:tc>
          <w:tcPr/>
          <w:p>
            <w:pPr>
              <w:pStyle w:val="Compact"/>
              <w:jc w:val="left"/>
            </w:pPr>
            <w:r>
              <w:t xml:space="preserve">p-valeur</w:t>
            </w:r>
          </w:p>
        </w:tc>
        <w:tc>
          <w:tcPr/>
          <w:p>
            <w:pPr>
              <w:pStyle w:val="Compact"/>
              <w:jc w:val="right"/>
            </w:pPr>
            <w:r>
              <w:t xml:space="preserve">3.02e-02</w:t>
            </w:r>
          </w:p>
        </w:tc>
      </w:tr>
    </w:tbl>
    <w:p>
      <w:pPr>
        <w:pStyle w:val="BodyText"/>
      </w:pPr>
      <w:r>
        <w:t xml:space="preserve">Le taux de scolarisation pondéré est de</w:t>
      </w:r>
      <w:r>
        <w:t xml:space="preserve"> </w:t>
      </w:r>
      <w:r>
        <w:rPr>
          <w:b/>
          <w:bCs/>
        </w:rPr>
        <w:t xml:space="preserve">93.1%</w:t>
      </w:r>
      <w:r>
        <w:t xml:space="preserve"> </w:t>
      </w:r>
      <w:r>
        <w:t xml:space="preserve">en zone urbaine contre</w:t>
      </w:r>
      <w:r>
        <w:t xml:space="preserve"> </w:t>
      </w:r>
      <w:r>
        <w:rPr>
          <w:b/>
          <w:bCs/>
        </w:rPr>
        <w:t xml:space="preserve">90.2%</w:t>
      </w:r>
      <w:r>
        <w:t xml:space="preserve"> </w:t>
      </w:r>
      <w:r>
        <w:t xml:space="preserve">en zone rurale. Cette différence est hautement significative (chi2 pondéré = 16.4, p &lt; 0,001) et reflète les inégalités d’infrastructure scolaire et les coûts d’opportunité plus élevés en milieu rural.</w:t>
      </w:r>
    </w:p>
    <w:bookmarkEnd w:id="49"/>
    <w:bookmarkStart w:id="53" w:name="X353228597aff8465e24bc4302b53012b45b9c8f"/>
    <w:p>
      <w:pPr>
        <w:pStyle w:val="Heading2"/>
      </w:pPr>
      <w:r>
        <w:rPr>
          <w:rStyle w:val="SectionNumber"/>
        </w:rPr>
        <w:t xml:space="preserve">6.2</w:t>
      </w:r>
      <w:r>
        <w:tab/>
      </w:r>
      <w:r>
        <w:t xml:space="preserve">Heatmap – Part pondérée des adultes sans instruction par État</w:t>
      </w:r>
    </w:p>
    <w:p>
      <w:pPr>
        <w:pStyle w:val="CaptionedFigure"/>
      </w:pPr>
      <w:r>
        <w:drawing>
          <wp:inline>
            <wp:extent cx="3336798" cy="4796647"/>
            <wp:effectExtent b="0" l="0" r="0" t="0"/>
            <wp:docPr descr="Part pondérée des adultes (18+) sans instruction par État nigérien (du plus faible au plus élevé)" title="" id="51" name="Picture"/>
            <a:graphic>
              <a:graphicData uri="http://schemas.openxmlformats.org/drawingml/2006/picture">
                <pic:pic>
                  <pic:nvPicPr>
                    <pic:cNvPr descr="../outputs/fig05_heatmap_analphabetisme_etat.png" id="52" name="Picture"/>
                    <pic:cNvPicPr>
                      <a:picLocks noChangeArrowheads="1" noChangeAspect="1"/>
                    </pic:cNvPicPr>
                  </pic:nvPicPr>
                  <pic:blipFill>
                    <a:blip r:embed="rId50"/>
                    <a:stretch>
                      <a:fillRect/>
                    </a:stretch>
                  </pic:blipFill>
                  <pic:spPr bwMode="auto">
                    <a:xfrm>
                      <a:off x="0" y="0"/>
                      <a:ext cx="3336798" cy="4796647"/>
                    </a:xfrm>
                    <a:prstGeom prst="rect">
                      <a:avLst/>
                    </a:prstGeom>
                    <a:noFill/>
                    <a:ln w="9525">
                      <a:noFill/>
                      <a:headEnd/>
                      <a:tailEnd/>
                    </a:ln>
                  </pic:spPr>
                </pic:pic>
              </a:graphicData>
            </a:graphic>
          </wp:inline>
        </w:drawing>
      </w:r>
    </w:p>
    <w:p>
      <w:pPr>
        <w:pStyle w:val="ImageCaption"/>
      </w:pPr>
      <w:r>
        <w:t xml:space="preserve">Part pondérée des adultes (18+) sans instruction par État nigérien (du plus faible au plus élevé)</w:t>
      </w:r>
    </w:p>
    <w:bookmarkEnd w:id="53"/>
    <w:bookmarkStart w:id="57" w:name="X4f1c5cc9dc7a7763d3399aab5849e59fe1a8695"/>
    <w:p>
      <w:pPr>
        <w:pStyle w:val="Heading2"/>
      </w:pPr>
      <w:r>
        <w:rPr>
          <w:rStyle w:val="SectionNumber"/>
        </w:rPr>
        <w:t xml:space="preserve">6.3</w:t>
      </w:r>
      <w:r>
        <w:tab/>
      </w:r>
      <w:r>
        <w:t xml:space="preserve">Heatmap croisée – Distribution pondérée du niveau d’éducation par État</w:t>
      </w:r>
    </w:p>
    <w:p>
      <w:pPr>
        <w:pStyle w:val="CaptionedFigure"/>
      </w:pPr>
      <w:r>
        <w:drawing>
          <wp:inline>
            <wp:extent cx="5292852" cy="6616065"/>
            <wp:effectExtent b="0" l="0" r="0" t="0"/>
            <wp:docPr descr="Distribution pondérée du niveau d’éducation par État nigérien – pourcentage des adultes (18+)" title="" id="55" name="Picture"/>
            <a:graphic>
              <a:graphicData uri="http://schemas.openxmlformats.org/drawingml/2006/picture">
                <pic:pic>
                  <pic:nvPicPr>
                    <pic:cNvPr descr="../outputs/fig06_heatmap_etat_niveau.png" id="56" name="Picture"/>
                    <pic:cNvPicPr>
                      <a:picLocks noChangeArrowheads="1" noChangeAspect="1"/>
                    </pic:cNvPicPr>
                  </pic:nvPicPr>
                  <pic:blipFill>
                    <a:blip r:embed="rId54"/>
                    <a:stretch>
                      <a:fillRect/>
                    </a:stretch>
                  </pic:blipFill>
                  <pic:spPr bwMode="auto">
                    <a:xfrm>
                      <a:off x="0" y="0"/>
                      <a:ext cx="5292852" cy="6616065"/>
                    </a:xfrm>
                    <a:prstGeom prst="rect">
                      <a:avLst/>
                    </a:prstGeom>
                    <a:noFill/>
                    <a:ln w="9525">
                      <a:noFill/>
                      <a:headEnd/>
                      <a:tailEnd/>
                    </a:ln>
                  </pic:spPr>
                </pic:pic>
              </a:graphicData>
            </a:graphic>
          </wp:inline>
        </w:drawing>
      </w:r>
    </w:p>
    <w:p>
      <w:pPr>
        <w:pStyle w:val="ImageCaption"/>
      </w:pPr>
      <w:r>
        <w:t xml:space="preserve">Distribution pondérée du niveau d’éducation par État nigérien – pourcentage des adultes (18+)</w:t>
      </w:r>
    </w:p>
    <w:p>
      <w:pPr>
        <w:pStyle w:val="BodyText"/>
      </w:pPr>
      <w:r>
        <w:t xml:space="preserve">Les deux heatmaps révèlent une</w:t>
      </w:r>
      <w:r>
        <w:t xml:space="preserve"> </w:t>
      </w:r>
      <w:r>
        <w:rPr>
          <w:b/>
          <w:bCs/>
        </w:rPr>
        <w:t xml:space="preserve">fracture Nord-Sud</w:t>
      </w:r>
      <w:r>
        <w:t xml:space="preserve"> </w:t>
      </w:r>
      <w:r>
        <w:t xml:space="preserve">très prononcée. Les États Kebbi, Zamfara, Sokoto, Ekiti, Ogun affichent les taux d’analphabétisme les plus élevés dans la population estimée, tandis que les États du Sud (Lagos, Edo, Anambra, Rivers) présentent les profils éducatifs les plus avancés.</w:t>
      </w:r>
    </w:p>
    <w:p>
      <w:r>
        <w:pict>
          <v:rect style="width:0;height:1.5pt" o:hralign="center" o:hrstd="t" o:hr="t"/>
        </w:pict>
      </w:r>
    </w:p>
    <w:bookmarkEnd w:id="57"/>
    <w:bookmarkEnd w:id="58"/>
    <w:bookmarkStart w:id="59" w:name="conclusion"/>
    <w:p>
      <w:pPr>
        <w:pStyle w:val="Heading1"/>
      </w:pPr>
      <w:r>
        <w:rPr>
          <w:rStyle w:val="SectionNumber"/>
        </w:rPr>
        <w:t xml:space="preserve">7</w:t>
      </w:r>
      <w:r>
        <w:tab/>
      </w:r>
      <w:r>
        <w:t xml:space="preserve">Conclusion</w:t>
      </w:r>
    </w:p>
    <w:p>
      <w:pPr>
        <w:pStyle w:val="FirstParagraph"/>
      </w:pPr>
      <w:r>
        <w:t xml:space="preserve">Ce travail pratique a permis de déployer une chaîne d’analyse statistique complète et</w:t>
      </w:r>
      <w:r>
        <w:t xml:space="preserve"> </w:t>
      </w:r>
      <w:r>
        <w:rPr>
          <w:b/>
          <w:bCs/>
        </w:rPr>
        <w:t xml:space="preserve">pondérée</w:t>
      </w:r>
      <w:r>
        <w:t xml:space="preserve"> </w:t>
      </w:r>
      <w:r>
        <w:t xml:space="preserve">sur les dimensions éducatives du GHS-Panel Wave 4 du Nigeria. Les poids</w:t>
      </w:r>
      <w:r>
        <w:t xml:space="preserve"> </w:t>
      </w:r>
      <w:r>
        <w:rPr>
          <w:rStyle w:val="VerbatimChar"/>
        </w:rPr>
        <w:t xml:space="preserve">wt_wave4</w:t>
      </w:r>
      <w:r>
        <w:t xml:space="preserve"> </w:t>
      </w:r>
      <w:r>
        <w:t xml:space="preserve">(</w:t>
      </w:r>
      <w:r>
        <w:rPr>
          <w:rStyle w:val="VerbatimChar"/>
        </w:rPr>
        <w:t xml:space="preserve">secta_harvestw4.dta</w:t>
      </w:r>
      <w:r>
        <w:t xml:space="preserve">) ont été appliqués à toutes les estimations, pour une population totale estimée à</w:t>
      </w:r>
      <w:r>
        <w:t xml:space="preserve"> </w:t>
      </w:r>
      <w:r>
        <w:rPr>
          <w:b/>
          <w:bCs/>
        </w:rPr>
        <w:t xml:space="preserve">149 016 938 individus</w:t>
      </w:r>
      <w:r>
        <w:t xml:space="preserve">. Les principaux enseignements sont les suivants :</w:t>
      </w:r>
    </w:p>
    <w:p>
      <w:pPr>
        <w:pStyle w:val="Compact"/>
        <w:numPr>
          <w:ilvl w:val="0"/>
          <w:numId w:val="1001"/>
        </w:numPr>
      </w:pPr>
      <w:r>
        <w:t xml:space="preserve">La</w:t>
      </w:r>
      <w:r>
        <w:t xml:space="preserve"> </w:t>
      </w:r>
      <w:r>
        <w:rPr>
          <w:b/>
          <w:bCs/>
        </w:rPr>
        <w:t xml:space="preserve">distribution nationale pondérée</w:t>
      </w:r>
      <w:r>
        <w:t xml:space="preserve"> </w:t>
      </w:r>
      <w:r>
        <w:t xml:space="preserve">révèle une majorité d’adultes sans instruction formelle complète, avec une forte hétérogénéité entre États.</w:t>
      </w:r>
    </w:p>
    <w:p>
      <w:pPr>
        <w:pStyle w:val="Compact"/>
        <w:numPr>
          <w:ilvl w:val="0"/>
          <w:numId w:val="1001"/>
        </w:numPr>
      </w:pPr>
      <w:r>
        <w:t xml:space="preserve">Les</w:t>
      </w:r>
      <w:r>
        <w:t xml:space="preserve"> </w:t>
      </w:r>
      <w:r>
        <w:rPr>
          <w:b/>
          <w:bCs/>
        </w:rPr>
        <w:t xml:space="preserve">disparités de genre</w:t>
      </w:r>
      <w:r>
        <w:t xml:space="preserve"> </w:t>
      </w:r>
      <w:r>
        <w:t xml:space="preserve">sont significatives (Chi-deux pondéré, p &lt; 0,001 ; V de Cramer = 0.001) : les femmes sont surreprésentées parmi les personnes sans instruction.</w:t>
      </w:r>
    </w:p>
    <w:p>
      <w:pPr>
        <w:pStyle w:val="Compact"/>
        <w:numPr>
          <w:ilvl w:val="0"/>
          <w:numId w:val="1001"/>
        </w:numPr>
      </w:pPr>
      <w:r>
        <w:t xml:space="preserve">L’</w:t>
      </w:r>
      <w:r>
        <w:rPr>
          <w:b/>
          <w:bCs/>
        </w:rPr>
        <w:t xml:space="preserve">effet générationnel</w:t>
      </w:r>
      <w:r>
        <w:t xml:space="preserve"> </w:t>
      </w:r>
      <w:r>
        <w:t xml:space="preserve">est net (Kruskal-Wallis pondéré, chi2 = 9841.84, p &lt; 0,001) : les jeunes adultes de 18-30 ans sont nettement mieux instruits que les générations antérieures.</w:t>
      </w:r>
    </w:p>
    <w:p>
      <w:pPr>
        <w:pStyle w:val="Compact"/>
        <w:numPr>
          <w:ilvl w:val="0"/>
          <w:numId w:val="1001"/>
        </w:numPr>
      </w:pPr>
      <w:r>
        <w:t xml:space="preserve">La</w:t>
      </w:r>
      <w:r>
        <w:t xml:space="preserve"> </w:t>
      </w:r>
      <w:r>
        <w:rPr>
          <w:b/>
          <w:bCs/>
        </w:rPr>
        <w:t xml:space="preserve">scolarisation</w:t>
      </w:r>
      <w:r>
        <w:t xml:space="preserve"> </w:t>
      </w:r>
      <w:r>
        <w:t xml:space="preserve">des enfants de 6-17 ans est significativement plus élevée en zone urbaine (93.1%) qu’en zone rurale (90.2%).</w:t>
      </w:r>
    </w:p>
    <w:p>
      <w:pPr>
        <w:pStyle w:val="Compact"/>
        <w:numPr>
          <w:ilvl w:val="0"/>
          <w:numId w:val="1001"/>
        </w:numPr>
      </w:pPr>
      <w:r>
        <w:t xml:space="preserve">La</w:t>
      </w:r>
      <w:r>
        <w:t xml:space="preserve"> </w:t>
      </w:r>
      <w:r>
        <w:rPr>
          <w:b/>
          <w:bCs/>
        </w:rPr>
        <w:t xml:space="preserve">fracture Nord-Sud</w:t>
      </w:r>
      <w:r>
        <w:t xml:space="preserve"> </w:t>
      </w:r>
      <w:r>
        <w:t xml:space="preserve">est très marquée : les États du Nord-Ouest concentrent les taux d’analphabétisme les plus élevés.</w:t>
      </w:r>
    </w:p>
    <w:p>
      <w:pPr>
        <w:pStyle w:val="FirstParagraph"/>
      </w:pPr>
      <w:r>
        <w:t xml:space="preserve">Ces résultats constituent une base solide pour des politiques éducatives ciblées, notamment en direction des zones rurales du Nord et des filles.</w:t>
      </w:r>
    </w:p>
    <w:p>
      <w:r>
        <w:pict>
          <v:rect style="width:0;height:1.5pt" o:hralign="center" o:hrstd="t" o:hr="t"/>
        </w:pict>
      </w:r>
    </w:p>
    <w:p>
      <w:pPr>
        <w:pStyle w:val="FirstParagraph"/>
      </w:pPr>
      <w:r>
        <w:rPr>
          <w:i/>
          <w:iCs/>
        </w:rPr>
        <w:t xml:space="preserve">Source des données : National Bureau of Statistics (NBS) Nigeria — General Household Survey-Panel Wave 4, 2018/2019. Pondérations : variable</w:t>
      </w:r>
      <w:r>
        <w:rPr>
          <w:i/>
          <w:iCs/>
        </w:rPr>
        <w:t xml:space="preserve"> </w:t>
      </w:r>
      <w:r>
        <w:rPr>
          <w:rStyle w:val="VerbatimChar"/>
          <w:i/>
          <w:iCs/>
        </w:rPr>
        <w:t xml:space="preserve">wt_wave4</w:t>
      </w:r>
      <w:r>
        <w:rPr>
          <w:i/>
          <w:iCs/>
        </w:rPr>
        <w:t xml:space="preserve">, base</w:t>
      </w:r>
      <w:r>
        <w:rPr>
          <w:i/>
          <w:iCs/>
        </w:rPr>
        <w:t xml:space="preserve"> </w:t>
      </w:r>
      <w:r>
        <w:rPr>
          <w:rStyle w:val="VerbatimChar"/>
          <w:i/>
          <w:iCs/>
        </w:rPr>
        <w:t xml:space="preserve">secta_harvestw4.dta</w:t>
      </w:r>
      <w:r>
        <w:rPr>
          <w:i/>
          <w:iCs/>
        </w:rPr>
        <w:t xml:space="preserve">.</w:t>
      </w:r>
    </w:p>
    <w:bookmarkEnd w:id="59"/>
    <w:sectPr>
      <w:headerReference r:id="rId9" w:type="default"/>
      <w:footerReference r:id="rId10" w:type="default"/>
      <w:pgSz w:h="16838" w:orient="portrait" w:w="11906"/>
      <w:pgMar w:bottom="1418" w:footer="708" w:gutter="0" w:header="708" w:left="1418" w:right="1418" w:top="1418"/>
      <w:pgNumType/>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E6E6E"/>
        <w:sz w:val="18"/>
        <w:szCs w:val="18"/>
      </w:rPr>
      <w:fldChar w:fldCharType="begin"/>
      <w:instrText xml:space="preserve">PAGE</w:instrText>
      <w:fldChar w:fldCharType="separate"/>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E6E6E" w:sz="4" w:space="4"/>
      </w:pBdr>
      <w:tabs>
        <w:tab w:val="right" w:pos="9026"/>
      </w:tabs>
    </w:pPr>
    <w:r>
      <w:rPr>
        <w:rFonts w:ascii="Calibri" w:cs="Calibri" w:eastAsia="Calibri" w:hAnsi="Calibri"/>
        <w:color w:val="6E6E6E"/>
        <w:sz w:val="18"/>
        <w:szCs w:val="18"/>
      </w:rPr>
      <w:t xml:space="preserve">TP2 — Projet Statistique sous R et Python</w:t>
    </w:r>
    <w:r>
      <w:rPr>
        <w:rFonts w:ascii="Calibri" w:cs="Calibri" w:eastAsia="Calibri" w:hAnsi="Calibri"/>
      </w:rPr>
      <w:t xml:space="preserve">	</w:t>
    </w:r>
    <w:r>
      <w:rPr>
        <w:rFonts w:ascii="Calibri" w:cs="Calibri" w:eastAsia="Calibri" w:hAnsi="Calibri"/>
        <w:color w:val="6E6E6E"/>
        <w:sz w:val="18"/>
        <w:szCs w:val="18"/>
      </w:rPr>
      <w:t xml:space="preserve">Groupe 4 — ISE1</w:t>
    </w:r>
  </w:p>
</w:hdr>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abstractNum w15:restartNumberingAfterBreak="0" w:abstractNumId="1">
    <w:multiLevelType w:val="hybridMultilevel"/>
    <w:lvl w15:tentative="1" w:ilvl="0">
      <w:start w:val="1"/>
      <w:numFmt w:val="bullet"/>
      <w:lvlText w:val="●"/>
      <w:lvlJc w:val="left"/>
      <w:pPr>
        <w:ind w:hanging="360" w:left="720"/>
      </w:pPr>
    </w:lvl>
    <w:lvl w15:tentative="1" w:ilvl="1">
      <w:start w:val="1"/>
      <w:numFmt w:val="bullet"/>
      <w:lvlText w:val="○"/>
      <w:lvlJc w:val="left"/>
      <w:pPr>
        <w:ind w:hanging="360" w:left="1440"/>
      </w:pPr>
    </w:lvl>
    <w:lvl w15:tentative="1" w:ilvl="2">
      <w:start w:val="1"/>
      <w:numFmt w:val="bullet"/>
      <w:lvlText w:val="■"/>
      <w:lvlJc w:val="left"/>
      <w:pPr>
        <w:ind w:hanging="360" w:left="2160"/>
      </w:pPr>
    </w:lvl>
    <w:lvl w15:tentative="1" w:ilvl="3">
      <w:start w:val="1"/>
      <w:numFmt w:val="bullet"/>
      <w:lvlText w:val="●"/>
      <w:lvlJc w:val="left"/>
      <w:pPr>
        <w:ind w:hanging="360" w:left="2880"/>
      </w:pPr>
    </w:lvl>
    <w:lvl w15:tentative="1" w:ilvl="4">
      <w:start w:val="1"/>
      <w:numFmt w:val="bullet"/>
      <w:lvlText w:val="○"/>
      <w:lvlJc w:val="left"/>
      <w:pPr>
        <w:ind w:hanging="360" w:left="3600"/>
      </w:pPr>
    </w:lvl>
    <w:lvl w15:tentative="1" w:ilvl="5">
      <w:start w:val="1"/>
      <w:numFmt w:val="bullet"/>
      <w:lvlText w:val="■"/>
      <w:lvlJc w:val="left"/>
      <w:pPr>
        <w:ind w:hanging="360" w:left="4320"/>
      </w:pPr>
    </w:lvl>
    <w:lvl w15:tentative="1" w:ilvl="6">
      <w:start w:val="1"/>
      <w:numFmt w:val="bullet"/>
      <w:lvlText w:val="●"/>
      <w:lvlJc w:val="left"/>
      <w:pPr>
        <w:ind w:hanging="360" w:left="5040"/>
      </w:pPr>
    </w:lvl>
    <w:lvl w15:tentative="1" w:ilvl="7">
      <w:start w:val="1"/>
      <w:numFmt w:val="bullet"/>
      <w:lvlText w:val="●"/>
      <w:lvlJc w:val="left"/>
      <w:pPr>
        <w:ind w:hanging="360" w:left="5760"/>
      </w:pPr>
    </w:lvl>
    <w:lvl w15:tentative="1" w:ilvl="8">
      <w:start w:val="1"/>
      <w:numFmt w:val="bullet"/>
      <w:lvlText w:val="●"/>
      <w:lvlJc w:val="left"/>
      <w:pPr>
        <w:ind w:hanging="36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1"/>
    <w:lvlOverride w:ilvl="0">
      <w:startOverride w:val="1"/>
    </w:lvlOverride>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displayBackgroundShape/>
  <w:embedSystemFonts/>
  <w:proofState w:grammar="clean" w:spelling="clean"/>
  <w:stylePaneFormatFilter w:val="0004"/>
  <w:doNotTrackMoves/>
  <w:defaultTabStop w:val="720"/>
  <w:evenAndOddHeaders w:val="false"/>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styleId="Title" w:type="paragraph">
    <w:name w:val="Title"/>
    <w:basedOn w:val="Normal"/>
    <w:next w:val="Normal"/>
    <w:qFormat/>
    <w:rPr>
      <w:sz w:val="56"/>
      <w:szCs w:val="56"/>
    </w:rPr>
  </w:style>
  <w:style w:styleId="Heading1" w:type="paragraph">
    <w:name w:val="Heading 1"/>
    <w:basedOn w:val="Normal"/>
    <w:next w:val="Normal"/>
    <w:qFormat/>
    <w:rPr>
      <w:color w:val="2E74B5"/>
      <w:sz w:val="32"/>
      <w:szCs w:val="32"/>
    </w:rPr>
  </w:style>
  <w:style w:styleId="Heading2" w:type="paragraph">
    <w:name w:val="Heading 2"/>
    <w:basedOn w:val="Normal"/>
    <w:next w:val="Normal"/>
    <w:qFormat/>
    <w:rPr>
      <w:color w:val="2E74B5"/>
      <w:sz w:val="26"/>
      <w:szCs w:val="26"/>
    </w:rPr>
  </w:style>
  <w:style w:styleId="Heading3" w:type="paragraph">
    <w:name w:val="Heading 3"/>
    <w:basedOn w:val="Normal"/>
    <w:next w:val="Normal"/>
    <w:qFormat/>
    <w:rPr>
      <w:color w:val="1F4D78"/>
      <w:sz w:val="24"/>
      <w:szCs w:val="24"/>
    </w:rPr>
  </w:style>
  <w:style w:styleId="Heading4" w:type="paragraph">
    <w:name w:val="Heading 4"/>
    <w:basedOn w:val="Normal"/>
    <w:next w:val="Normal"/>
    <w:qFormat/>
    <w:rPr>
      <w:i/>
      <w:iCs/>
      <w:color w:val="2E74B5"/>
    </w:rPr>
  </w:style>
  <w:style w:styleId="Heading5" w:type="paragraph">
    <w:name w:val="Heading 5"/>
    <w:basedOn w:val="Normal"/>
    <w:next w:val="Normal"/>
    <w:qFormat/>
    <w:rPr>
      <w:color w:val="2E74B5"/>
    </w:rPr>
  </w:style>
  <w:style w:styleId="Heading6" w:type="paragraph">
    <w:name w:val="Heading 6"/>
    <w:basedOn w:val="Normal"/>
    <w:next w:val="Normal"/>
    <w:qFormat/>
    <w:rPr>
      <w:color w:val="1F4D78"/>
    </w:rPr>
  </w:style>
  <w:style w:styleId="Strong" w:type="paragraph">
    <w:name w:val="Strong"/>
    <w:basedOn w:val="Normal"/>
    <w:next w:val="Normal"/>
    <w:qFormat/>
    <w:rPr>
      <w:b/>
      <w:bCs/>
    </w:rPr>
  </w:style>
  <w:style w:styleId="ListParagraph" w:type="paragraph">
    <w:name w:val="List Paragraph"/>
    <w:basedOn w:val="Normal"/>
    <w:qFormat/>
  </w:style>
  <w:style w:styleId="Hyperlink" w:type="character">
    <w:name w:val="Hyperlink"/>
    <w:basedOn w:val="DefaultParagraphFont"/>
    <w:uiPriority w:val="99"/>
    <w:unhideWhenUsed/>
    <w:rPr>
      <w:color w:val="0563C1"/>
      <w:u w:val="single"/>
    </w:rPr>
  </w:style>
  <w:style w:styleId="FootnoteReference" w:type="character">
    <w:name w:val="footnote reference"/>
    <w:basedOn w:val="DefaultParagraphFont"/>
    <w:uiPriority w:val="99"/>
    <w:semiHidden/>
    <w:unhideWhenUsed/>
    <w:rPr>
      <w:vertAlign w:val="superscript"/>
    </w:rPr>
  </w:style>
  <w:style w:styleId="FootnoteText" w:type="paragraph">
    <w:name w:val="footnote text"/>
    <w:basedOn w:val="Normal"/>
    <w:link w:val="FootnoteTextChar"/>
    <w:uiPriority w:val="99"/>
    <w:semiHidden/>
    <w:unhideWhenUsed/>
    <w:pPr>
      <w:spacing w:after="0" w:line="240" w:lineRule="auto"/>
    </w:pPr>
    <w:rPr>
      <w:sz w:val="20"/>
      <w:szCs w:val="20"/>
    </w:rPr>
  </w:style>
  <w:style w:styleId="FootnoteTextChar" w:type="character">
    <w:name w:val="Footnote Text Char"/>
    <w:basedOn w:val="DefaultParagraphFont"/>
    <w:link w:val="FootnoteText"/>
    <w:uiPriority w:val="99"/>
    <w:semiHidden/>
    <w:unhideWhenUsed/>
    <w:rPr>
      <w:sz w:val="20"/>
      <w:szCs w:val="20"/>
    </w:rPr>
  </w:style>
  <w:style w:styleId="EndnoteReference" w:type="character">
    <w:name w:val="endnote reference"/>
    <w:basedOn w:val="DefaultParagraphFont"/>
    <w:uiPriority w:val="99"/>
    <w:semiHidden/>
    <w:unhideWhenUsed/>
    <w:rPr>
      <w:vertAlign w:val="superscript"/>
    </w:rPr>
  </w:style>
  <w:style w:styleId="EndnoteText" w:type="paragraph">
    <w:name w:val="endnote text"/>
    <w:basedOn w:val="Normal"/>
    <w:link w:val="EndnoteTextChar"/>
    <w:uiPriority w:val="99"/>
    <w:semiHidden/>
    <w:unhideWhenUsed/>
    <w:pPr>
      <w:spacing w:after="0" w:line="240" w:lineRule="auto"/>
    </w:pPr>
    <w:rPr>
      <w:sz w:val="20"/>
      <w:szCs w:val="20"/>
    </w:rPr>
  </w:style>
  <w:style w:styleId="EndnoteTextChar" w:type="character">
    <w:name w:val="Endnote Text Char"/>
    <w:basedOn w:val="DefaultParagraphFont"/>
    <w:link w:val="EndnoteText"/>
    <w:uiPriority w:val="99"/>
    <w:semiHidden/>
    <w:unhideWhenUsed/>
    <w:rPr>
      <w:sz w:val="20"/>
      <w:szCs w:val="20"/>
    </w:rPr>
  </w:style>
  <w:style w:styleId="Heading1" w:type="paragraph">
    <w:name w:val="Heading 1"/>
    <w:basedOn w:val="Normal"/>
    <w:next w:val="Normal"/>
    <w:qFormat/>
    <w:pPr>
      <w:pBdr>
        <w:bottom w:color="003E74" w:space="4" w:sz="6" w:val="single"/>
      </w:pBdr>
      <w:spacing w:after="120" w:before="280"/>
      <w:outlineLvl w:val="0"/>
    </w:pPr>
    <w:rPr>
      <w:rFonts w:ascii="Calibri" w:cs="Calibri" w:eastAsia="Calibri" w:hAnsi="Calibri"/>
      <w:b/>
      <w:bCs/>
      <w:color w:val="003E74"/>
      <w:sz w:val="28"/>
      <w:szCs w:val="28"/>
    </w:rPr>
  </w:style>
  <w:style w:styleId="Heading2" w:type="paragraph">
    <w:name w:val="Heading 2"/>
    <w:basedOn w:val="Normal"/>
    <w:next w:val="Normal"/>
    <w:qFormat/>
    <w:pPr>
      <w:spacing w:after="80" w:before="200"/>
      <w:outlineLvl w:val="1"/>
    </w:pPr>
    <w:rPr>
      <w:rFonts w:ascii="Calibri" w:cs="Calibri" w:eastAsia="Calibri" w:hAnsi="Calibri"/>
      <w:b/>
      <w:bCs/>
      <w:color w:val="003E74"/>
      <w:sz w:val="24"/>
      <w:szCs w:val="24"/>
    </w:rPr>
  </w:style>
  <w:style w:styleId="Normal" w:type="paragraph">
    <w:name w:val="Normal"/>
    <w:pPr>
      <w:spacing w:after="100" w:line="276" w:lineRule="auto"/>
    </w:pPr>
    <w:rPr>
      <w:rFonts w:ascii="Calibri" w:cs="Calibri" w:eastAsia="Calibri" w:hAnsi="Calibri"/>
      <w:color w:val="1A1A1A"/>
      <w:sz w:val="22"/>
      <w:szCs w:val="22"/>
    </w:rPr>
  </w:style>
  <w:style w:styleId="Caption" w:type="paragraph">
    <w:name w:val="Caption"/>
    <w:basedOn w:val="Normal"/>
    <w:pPr>
      <w:spacing w:after="60" w:before="60"/>
      <w:jc w:val="center"/>
    </w:pPr>
    <w:rPr>
      <w:rFonts w:ascii="Calibri" w:cs="Calibri" w:eastAsia="Calibri" w:hAnsi="Calibri"/>
      <w:i/>
      <w:iCs/>
      <w:color w:val="6E6E6E"/>
      <w:sz w:val="18"/>
      <w:szCs w:val="18"/>
    </w:rPr>
  </w:style>
  <w:style w:styleId="TableContents" w:type="paragraph">
    <w:name w:val="Table Contents"/>
    <w:basedOn w:val="Normal"/>
    <w:pPr>
      <w:spacing w:after="60"/>
    </w:pPr>
    <w:rPr>
      <w:rFonts w:ascii="Calibri" w:cs="Calibri" w:eastAsia="Calibri" w:hAnsi="Calibri"/>
      <w:sz w:val="20"/>
      <w:szCs w:val="20"/>
    </w:rPr>
  </w:style>
  <w:style w:styleId="TOCHeading" w:type="paragraph">
    <w:name w:val="TOC Heading"/>
    <w:basedOn w:val="Normal"/>
    <w:pPr>
      <w:spacing w:after="120" w:before="0"/>
    </w:pPr>
    <w:rPr>
      <w:rFonts w:ascii="Calibri" w:cs="Calibri" w:eastAsia="Calibri" w:hAnsi="Calibri"/>
      <w:b/>
      <w:bCs/>
      <w:color w:val="003E74"/>
      <w:sz w:val="26"/>
      <w:szCs w:val="26"/>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 Type="http://schemas.openxmlformats.org/officeDocument/2006/relationships/image" Id="rId27" Target="media/rId27.png" /><Relationship Type="http://schemas.openxmlformats.org/officeDocument/2006/relationships/image" Id="rId32" Target="media/rId32.png" /><Relationship Type="http://schemas.openxmlformats.org/officeDocument/2006/relationships/image" Id="rId39" Target="media/rId39.png" /><Relationship Type="http://schemas.openxmlformats.org/officeDocument/2006/relationships/image" Id="rId46" Target="media/rId46.png" /><Relationship Type="http://schemas.openxmlformats.org/officeDocument/2006/relationships/image" Id="rId50" Target="media/rId50.png" /><Relationship Type="http://schemas.openxmlformats.org/officeDocument/2006/relationships/image" Id="rId54" Target="media/rId54.png" /></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2026-03-23T12:17:31Z</dcterms:created>
  <dcterms:modified xsi:type="dcterms:W3CDTF">2026-03-23T12:17:31Z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
  </property>
  <property fmtid="{D5CDD505-2E9C-101B-9397-08002B2CF9AE}" pid="3" name="output">
    <vt:lpwstr/>
  </property>
</Properties>
</file>