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6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95959"/>
          <w:sz w:val="20"/>
          <w:szCs w:val="20"/>
          <w:rtl w:val="0"/>
        </w:rPr>
        <w:t xml:space="preserve">ECOLE NATIONALE DE LA STATISTIQUE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95959"/>
          <w:sz w:val="20"/>
          <w:szCs w:val="20"/>
          <w:rtl w:val="0"/>
        </w:rPr>
        <w:t xml:space="preserve">ET DE L'ANALYSE </w:t>
      </w:r>
      <w:r w:rsidDel="00000000" w:rsidR="00000000" w:rsidRPr="00000000">
        <w:rPr>
          <w:b w:val="1"/>
          <w:bCs w:val="1"/>
          <w:color w:val="595959"/>
          <w:sz w:val="20"/>
          <w:szCs w:val="20"/>
          <w:rtl w:val="0"/>
        </w:rPr>
        <w:t xml:space="preserve">ÉCONOMIQUE</w:t>
      </w:r>
      <w:r w:rsidDel="00000000" w:rsidR="00000000" w:rsidRPr="00000000">
        <w:rPr>
          <w:rFonts w:ascii="Arial" w:cs="Arial" w:eastAsia="Arial" w:hAnsi="Arial"/>
          <w:b w:val="1"/>
          <w:bCs w:val="1"/>
          <w:color w:val="595959"/>
          <w:sz w:val="20"/>
          <w:szCs w:val="20"/>
          <w:rtl w:val="0"/>
        </w:rPr>
        <w:t xml:space="preserve"> PIERRE NDIAYE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e75b6" w:space="1" w:sz="6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1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95959"/>
          <w:sz w:val="22"/>
          <w:szCs w:val="22"/>
          <w:rtl w:val="0"/>
        </w:rPr>
        <w:t xml:space="preserve">PROJET STATISTIQUE SOUS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30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Analyse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00" w:before="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Accès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6"/>
          <w:szCs w:val="36"/>
          <w:rtl w:val="0"/>
        </w:rPr>
        <w:t xml:space="preserve"> aux services de </w:t>
      </w: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santé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6"/>
          <w:szCs w:val="36"/>
          <w:rtl w:val="0"/>
        </w:rPr>
        <w:t xml:space="preserve">et chocs sanitaires des </w:t>
      </w: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ménages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6"/>
          <w:szCs w:val="36"/>
          <w:rtl w:val="0"/>
        </w:rPr>
        <w:t xml:space="preserve"> </w:t>
      </w:r>
      <w:r w:rsidDel="00000000" w:rsidR="00000000" w:rsidRPr="00000000">
        <w:rPr>
          <w:b w:val="1"/>
          <w:bCs w:val="1"/>
          <w:color w:val="1f3864"/>
          <w:sz w:val="36"/>
          <w:szCs w:val="36"/>
          <w:rtl w:val="0"/>
        </w:rPr>
        <w:t xml:space="preserve">nigérians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2"/>
          <w:szCs w:val="22"/>
          <w:rtl w:val="0"/>
        </w:rPr>
        <w:t xml:space="preserve">Nigeria General Household Survey (GHS) Panel -- Wave 4 (2018-2019)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2e75b6" w:space="1" w:sz="6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00" w:before="4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.0" w:type="dxa"/>
              <w:left w:w="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Rédigé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par 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before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Astou DIOP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Mamadou Lamine DIABANG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before="20" w:lineRule="auto"/>
              <w:rPr/>
            </w:pPr>
            <w:r w:rsidDel="00000000" w:rsidR="00000000" w:rsidRPr="00000000">
              <w:rPr>
                <w:i w:val="1"/>
                <w:iCs w:val="1"/>
                <w:color w:val="595959"/>
                <w:sz w:val="19"/>
                <w:szCs w:val="19"/>
                <w:rtl w:val="0"/>
              </w:rPr>
              <w:t xml:space="preserve">Élèves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595959"/>
                <w:sz w:val="19"/>
                <w:szCs w:val="19"/>
                <w:rtl w:val="0"/>
              </w:rPr>
              <w:t xml:space="preserve">Ingénieurs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9"/>
                <w:szCs w:val="19"/>
                <w:rtl w:val="0"/>
              </w:rPr>
              <w:t xml:space="preserve"> Statisticiens Economistes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Sous la supervision de 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before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1"/>
                <w:szCs w:val="21"/>
                <w:rtl w:val="0"/>
              </w:rPr>
              <w:t xml:space="preserve">Aboubacar HEMA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9"/>
                <w:szCs w:val="19"/>
                <w:rtl w:val="0"/>
              </w:rPr>
              <w:t xml:space="preserve">Analyste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9"/>
                <w:szCs w:val="19"/>
                <w:rtl w:val="0"/>
              </w:rPr>
              <w:t xml:space="preserve">International Food Policy Research Institute (IFPRI)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color w:val="595959"/>
          <w:sz w:val="20"/>
          <w:szCs w:val="20"/>
          <w:rtl w:val="0"/>
        </w:rPr>
        <w:t xml:space="preserve">Année</w:t>
      </w:r>
      <w:r w:rsidDel="00000000" w:rsidR="00000000" w:rsidRPr="00000000">
        <w:rPr>
          <w:rFonts w:ascii="Arial" w:cs="Arial" w:eastAsia="Arial" w:hAnsi="Arial"/>
          <w:color w:val="595959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595959"/>
          <w:sz w:val="20"/>
          <w:szCs w:val="20"/>
          <w:rtl w:val="0"/>
        </w:rPr>
        <w:t xml:space="preserve">académique</w:t>
      </w:r>
      <w:r w:rsidDel="00000000" w:rsidR="00000000" w:rsidRPr="00000000">
        <w:rPr>
          <w:rFonts w:ascii="Arial" w:cs="Arial" w:eastAsia="Arial" w:hAnsi="Arial"/>
          <w:color w:val="595959"/>
          <w:sz w:val="20"/>
          <w:szCs w:val="20"/>
          <w:rtl w:val="0"/>
        </w:rPr>
        <w:t xml:space="preserve"> 2025-2026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I. Introduction et contexte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Contexte </w:t>
      </w:r>
      <w:r w:rsidDel="00000000" w:rsidR="00000000" w:rsidRPr="00000000">
        <w:rPr>
          <w:b w:val="1"/>
          <w:bCs w:val="1"/>
          <w:rtl w:val="0"/>
        </w:rPr>
        <w:t xml:space="preserve">général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. </w:t>
      </w:r>
      <w:r w:rsidDel="00000000" w:rsidR="00000000" w:rsidRPr="00000000">
        <w:rPr>
          <w:rtl w:val="0"/>
        </w:rPr>
        <w:t xml:space="preserve">L'accès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aux soins de </w:t>
      </w:r>
      <w:r w:rsidDel="00000000" w:rsidR="00000000" w:rsidRPr="00000000">
        <w:rPr>
          <w:rtl w:val="0"/>
        </w:rPr>
        <w:t xml:space="preserve">santé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constitue un enjeu majeur du </w:t>
      </w:r>
      <w:r w:rsidDel="00000000" w:rsidR="00000000" w:rsidRPr="00000000">
        <w:rPr>
          <w:rtl w:val="0"/>
        </w:rPr>
        <w:t xml:space="preserve">développement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humain en Afrique subsaharienne. Au Nigeria, </w:t>
      </w:r>
      <w:r w:rsidDel="00000000" w:rsidR="00000000" w:rsidRPr="00000000">
        <w:rPr>
          <w:rtl w:val="0"/>
        </w:rPr>
        <w:t xml:space="preserve">premier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pays le plus </w:t>
      </w:r>
      <w:r w:rsidDel="00000000" w:rsidR="00000000" w:rsidRPr="00000000">
        <w:rPr>
          <w:rtl w:val="0"/>
        </w:rPr>
        <w:t xml:space="preserve">peuplé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du continent avec plus de 200 millions d'habitants, le </w:t>
      </w:r>
      <w:r w:rsidDel="00000000" w:rsidR="00000000" w:rsidRPr="00000000">
        <w:rPr>
          <w:rtl w:val="0"/>
        </w:rPr>
        <w:t xml:space="preserve">système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</w:t>
      </w:r>
      <w:r w:rsidDel="00000000" w:rsidR="00000000" w:rsidRPr="00000000">
        <w:rPr>
          <w:rtl w:val="0"/>
        </w:rPr>
        <w:t xml:space="preserve">santé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reste </w:t>
      </w:r>
      <w:r w:rsidDel="00000000" w:rsidR="00000000" w:rsidRPr="00000000">
        <w:rPr>
          <w:rtl w:val="0"/>
        </w:rPr>
        <w:t xml:space="preserve">marqué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par de profondes </w:t>
      </w:r>
      <w:r w:rsidDel="00000000" w:rsidR="00000000" w:rsidRPr="00000000">
        <w:rPr>
          <w:rtl w:val="0"/>
        </w:rPr>
        <w:t xml:space="preserve">inégalités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entre zones rurales et urbaines, et entre groupes </w:t>
      </w:r>
      <w:r w:rsidDel="00000000" w:rsidR="00000000" w:rsidRPr="00000000">
        <w:rPr>
          <w:rtl w:val="0"/>
        </w:rPr>
        <w:t xml:space="preserve">socio-économiques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 Les </w:t>
      </w:r>
      <w:r w:rsidDel="00000000" w:rsidR="00000000" w:rsidRPr="00000000">
        <w:rPr>
          <w:rtl w:val="0"/>
        </w:rPr>
        <w:t xml:space="preserve">ménages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font face </w:t>
      </w:r>
      <w:r w:rsidDel="00000000" w:rsidR="00000000" w:rsidRPr="00000000">
        <w:rPr>
          <w:rtl w:val="0"/>
        </w:rPr>
        <w:t xml:space="preserve">à des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coûts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directs </w:t>
      </w:r>
      <w:r w:rsidDel="00000000" w:rsidR="00000000" w:rsidRPr="00000000">
        <w:rPr>
          <w:rtl w:val="0"/>
        </w:rPr>
        <w:t xml:space="preserve">élevés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une offre de soins insuffisante en milieu rural, et un recours important aux praticiens informels et aux pharmacies </w:t>
      </w:r>
      <w:r w:rsidDel="00000000" w:rsidR="00000000" w:rsidRPr="00000000">
        <w:rPr>
          <w:rtl w:val="0"/>
        </w:rPr>
        <w:t xml:space="preserve">privées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Source des </w:t>
      </w:r>
      <w:r w:rsidDel="00000000" w:rsidR="00000000" w:rsidRPr="00000000">
        <w:rPr>
          <w:b w:val="1"/>
          <w:bCs w:val="1"/>
          <w:rtl w:val="0"/>
        </w:rPr>
        <w:t xml:space="preserve">données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Cette analyse exploite la vague 4 (2018-2019) du Nigeria General Household Survey (GHS) Panel, programme phare de la Banque Mondiale dans le cadre de l'initiative LSMS-ISA (Living Standards Measurement Study -- Integrated Surveys on Agriculture). Il s'agit d'une </w:t>
      </w:r>
      <w:r w:rsidDel="00000000" w:rsidR="00000000" w:rsidRPr="00000000">
        <w:rPr>
          <w:rtl w:val="0"/>
        </w:rPr>
        <w:t xml:space="preserve">enquête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longitudinale </w:t>
      </w:r>
      <w:r w:rsidDel="00000000" w:rsidR="00000000" w:rsidRPr="00000000">
        <w:rPr>
          <w:rtl w:val="0"/>
        </w:rPr>
        <w:t xml:space="preserve">représentative à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l'échelle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nationale, suivant les </w:t>
      </w:r>
      <w:r w:rsidDel="00000000" w:rsidR="00000000" w:rsidRPr="00000000">
        <w:rPr>
          <w:rtl w:val="0"/>
        </w:rPr>
        <w:t xml:space="preserve">mêmes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ménages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au fil du temps.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Structure analytique. 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L'analyse couvre quatre dimensions complementaires : (i) la prevalence des maladies et blessures selon le sexe et le groupe d'age ; (ii) la nature des affections declarees ; (iii) les types de prestataires de soins consultes ; et (iv) les depenses de sante et leur distribution selon la zone de residence.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6" w:val="single"/>
              <w:left w:color="2e75b6" w:space="0" w:sz="6" w:val="single"/>
              <w:bottom w:color="cccccc" w:space="0" w:sz="4" w:val="single"/>
              <w:right w:color="000000" w:space="0" w:sz="0" w:val="nil"/>
            </w:tcBorders>
            <w:shd w:fill="ebf3fb" w:val="clear"/>
            <w:tcMar>
              <w:top w:w="120.0" w:type="dxa"/>
              <w:left w:w="160.0" w:type="dxa"/>
              <w:bottom w:w="12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Principaux fichiers </w:t>
            </w: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mobilisés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sect4a harvest w4.dta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-- Module sante : maladies, consultations,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dépenses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sect1_harvestw4.dta   -- Donnees demographiques : sexe, age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secta harvest w4.dta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 -- Variables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géographiques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: zone rurale/urbaine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cons_agg_wave3_visit2.dta -- Proxy de niveau de vie (Wave 3, approche panel LSMS-ISA)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8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II. Taux de morbidite par sexe et groupe d'age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2.1 </w:t>
      </w:r>
      <w:r w:rsidDel="00000000" w:rsidR="00000000" w:rsidRPr="00000000">
        <w:rPr>
          <w:rtl w:val="0"/>
        </w:rPr>
        <w:t xml:space="preserve">Méthodologie</w:t>
      </w:r>
    </w:p>
    <w:p w:rsidR="00000000" w:rsidDel="00000000" w:rsidP="00000000" w:rsidRDefault="00000000" w:rsidRPr="00000000" w14:paraId="00000026">
      <w:pPr>
        <w:spacing w:after="80" w:before="80" w:lineRule="auto"/>
        <w:jc w:val="both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Le taux de </w:t>
      </w:r>
      <w:r w:rsidDel="00000000" w:rsidR="00000000" w:rsidRPr="00000000">
        <w:rPr>
          <w:rtl w:val="0"/>
        </w:rPr>
        <w:t xml:space="preserve">morbidité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est </w:t>
      </w:r>
      <w:r w:rsidDel="00000000" w:rsidR="00000000" w:rsidRPr="00000000">
        <w:rPr>
          <w:rtl w:val="0"/>
        </w:rPr>
        <w:t xml:space="preserve">défini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comme la proportion d'individus ayant </w:t>
      </w:r>
      <w:r w:rsidDel="00000000" w:rsidR="00000000" w:rsidRPr="00000000">
        <w:rPr>
          <w:rtl w:val="0"/>
        </w:rPr>
        <w:t xml:space="preserve">déclaré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avoir souffert d'au moins une maladie ou blessure dans les quatre semaines </w:t>
      </w:r>
      <w:r w:rsidDel="00000000" w:rsidR="00000000" w:rsidRPr="00000000">
        <w:rPr>
          <w:rtl w:val="0"/>
        </w:rPr>
        <w:t xml:space="preserve">précédant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l'enquête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(variable s4aq3). Les intervalles de confiance </w:t>
      </w:r>
      <w:r w:rsidDel="00000000" w:rsidR="00000000" w:rsidRPr="00000000">
        <w:rPr>
          <w:rtl w:val="0"/>
        </w:rPr>
        <w:t xml:space="preserve">à 95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% sont </w:t>
      </w:r>
      <w:r w:rsidDel="00000000" w:rsidR="00000000" w:rsidRPr="00000000">
        <w:rPr>
          <w:rtl w:val="0"/>
        </w:rPr>
        <w:t xml:space="preserve">calculés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par la </w:t>
      </w:r>
      <w:r w:rsidDel="00000000" w:rsidR="00000000" w:rsidRPr="00000000">
        <w:rPr>
          <w:rtl w:val="0"/>
        </w:rPr>
        <w:t xml:space="preserve">méthode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exacte de Wilson via prop.test(), plus robuste que l'approximation normale pour les petits effectifs ou les proportions proches de 0 ou 1.</w:t>
      </w:r>
    </w:p>
    <w:p w:rsidR="00000000" w:rsidDel="00000000" w:rsidP="00000000" w:rsidRDefault="00000000" w:rsidRPr="00000000" w14:paraId="00000027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2.2 </w:t>
      </w:r>
      <w:r w:rsidDel="00000000" w:rsidR="00000000" w:rsidRPr="00000000">
        <w:rPr>
          <w:rtl w:val="0"/>
        </w:rPr>
        <w:t xml:space="preserve">Résultats</w:t>
      </w:r>
    </w:p>
    <w:p w:rsidR="00000000" w:rsidDel="00000000" w:rsidP="00000000" w:rsidRDefault="00000000" w:rsidRPr="00000000" w14:paraId="0000003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19820" cy="30607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60" w:before="6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Figure 1. Taux de morbidite declare par sexe et groupe d'age avec IC 95% -- GHS Panel W4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95959"/>
          <w:sz w:val="22"/>
          <w:szCs w:val="22"/>
          <w:rtl w:val="0"/>
        </w:rPr>
        <w:t xml:space="preserve">Disparites selon le sexe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Le taux de </w:t>
      </w:r>
      <w:r w:rsidDel="00000000" w:rsidR="00000000" w:rsidRPr="00000000">
        <w:rPr>
          <w:rtl w:val="0"/>
        </w:rPr>
        <w:t xml:space="preserve">morbidité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global sur les quatre semaines </w:t>
      </w:r>
      <w:r w:rsidDel="00000000" w:rsidR="00000000" w:rsidRPr="00000000">
        <w:rPr>
          <w:rtl w:val="0"/>
        </w:rPr>
        <w:t xml:space="preserve">précédant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l'enquête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s'établit à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9,4 %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la population </w:t>
      </w:r>
      <w:r w:rsidDel="00000000" w:rsidR="00000000" w:rsidRPr="00000000">
        <w:rPr>
          <w:rtl w:val="0"/>
        </w:rPr>
        <w:t xml:space="preserve">enquêtée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 Les femmes </w:t>
      </w:r>
      <w:r w:rsidDel="00000000" w:rsidR="00000000" w:rsidRPr="00000000">
        <w:rPr>
          <w:rtl w:val="0"/>
        </w:rPr>
        <w:t xml:space="preserve">présentent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un taux de </w:t>
      </w:r>
      <w:r w:rsidDel="00000000" w:rsidR="00000000" w:rsidRPr="00000000">
        <w:rPr>
          <w:rtl w:val="0"/>
        </w:rPr>
        <w:t xml:space="preserve">morbidité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</w:t>
      </w:r>
      <w:r w:rsidDel="00000000" w:rsidR="00000000" w:rsidRPr="00000000">
        <w:rPr>
          <w:b w:val="1"/>
          <w:bCs w:val="1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%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significativement </w:t>
      </w:r>
      <w:r w:rsidDel="00000000" w:rsidR="00000000" w:rsidRPr="00000000">
        <w:rPr>
          <w:rtl w:val="0"/>
        </w:rPr>
        <w:t xml:space="preserve">supérieur à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celui des hommes (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8,</w:t>
      </w: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%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). Les intervalles de confiance </w:t>
      </w:r>
      <w:r w:rsidDel="00000000" w:rsidR="00000000" w:rsidRPr="00000000">
        <w:rPr>
          <w:rtl w:val="0"/>
        </w:rPr>
        <w:t xml:space="preserve">à 95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% ne se chevauchent pas, ce qui confirme la </w:t>
      </w:r>
      <w:r w:rsidDel="00000000" w:rsidR="00000000" w:rsidRPr="00000000">
        <w:rPr>
          <w:rtl w:val="0"/>
        </w:rPr>
        <w:t xml:space="preserve">significativité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statistique de cette </w:t>
      </w:r>
      <w:r w:rsidDel="00000000" w:rsidR="00000000" w:rsidRPr="00000000">
        <w:rPr>
          <w:rtl w:val="0"/>
        </w:rPr>
        <w:t xml:space="preserve">différence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 Cette </w:t>
      </w:r>
      <w:r w:rsidDel="00000000" w:rsidR="00000000" w:rsidRPr="00000000">
        <w:rPr>
          <w:rtl w:val="0"/>
        </w:rPr>
        <w:t xml:space="preserve">vulnérabilité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accrue des femmes s'explique en partie par les risques </w:t>
      </w:r>
      <w:r w:rsidDel="00000000" w:rsidR="00000000" w:rsidRPr="00000000">
        <w:rPr>
          <w:rtl w:val="0"/>
        </w:rPr>
        <w:t xml:space="preserve">liés à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la </w:t>
      </w:r>
      <w:r w:rsidDel="00000000" w:rsidR="00000000" w:rsidRPr="00000000">
        <w:rPr>
          <w:rtl w:val="0"/>
        </w:rPr>
        <w:t xml:space="preserve">santé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reproductive (grossesse, accouchement, soins </w:t>
      </w:r>
      <w:r w:rsidDel="00000000" w:rsidR="00000000" w:rsidRPr="00000000">
        <w:rPr>
          <w:rtl w:val="0"/>
        </w:rPr>
        <w:t xml:space="preserve">postnataux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) ainsi que par une charge de travail domestique plus </w:t>
      </w:r>
      <w:r w:rsidDel="00000000" w:rsidR="00000000" w:rsidRPr="00000000">
        <w:rPr>
          <w:rtl w:val="0"/>
        </w:rPr>
        <w:t xml:space="preserve">élevée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exposant </w:t>
      </w:r>
      <w:r w:rsidDel="00000000" w:rsidR="00000000" w:rsidRPr="00000000">
        <w:rPr>
          <w:rtl w:val="0"/>
        </w:rPr>
        <w:t xml:space="preserve">à la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fatigue et aux maladies infectieuses.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95959"/>
          <w:sz w:val="22"/>
          <w:szCs w:val="22"/>
          <w:rtl w:val="0"/>
        </w:rPr>
        <w:t xml:space="preserve">Gradient selon </w:t>
      </w:r>
      <w:r w:rsidDel="00000000" w:rsidR="00000000" w:rsidRPr="00000000">
        <w:rPr>
          <w:rtl w:val="0"/>
        </w:rPr>
        <w:t xml:space="preserve">l'âge</w:t>
      </w:r>
    </w:p>
    <w:p w:rsidR="00000000" w:rsidDel="00000000" w:rsidP="00000000" w:rsidRDefault="00000000" w:rsidRPr="00000000" w14:paraId="0000003A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Le profil par </w:t>
      </w:r>
      <w:r w:rsidDel="00000000" w:rsidR="00000000" w:rsidRPr="00000000">
        <w:rPr>
          <w:rtl w:val="0"/>
        </w:rPr>
        <w:t xml:space="preserve">âge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révèle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un gradient croissant </w:t>
      </w:r>
      <w:r w:rsidDel="00000000" w:rsidR="00000000" w:rsidRPr="00000000">
        <w:rPr>
          <w:rtl w:val="0"/>
        </w:rPr>
        <w:t xml:space="preserve">très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marqué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avec </w:t>
      </w:r>
      <w:r w:rsidDel="00000000" w:rsidR="00000000" w:rsidRPr="00000000">
        <w:rPr>
          <w:rtl w:val="0"/>
        </w:rPr>
        <w:t xml:space="preserve">l'avancée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en </w:t>
      </w:r>
      <w:r w:rsidDel="00000000" w:rsidR="00000000" w:rsidRPr="00000000">
        <w:rPr>
          <w:rtl w:val="0"/>
        </w:rPr>
        <w:t xml:space="preserve">âge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 Les jeunes adultes (15-29 ans) enregistrent le taux le plus bas (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7,</w:t>
      </w:r>
      <w:r w:rsidDel="00000000" w:rsidR="00000000" w:rsidRPr="00000000">
        <w:rPr>
          <w:b w:val="1"/>
          <w:bCs w:val="1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%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), </w:t>
      </w:r>
      <w:r w:rsidDel="00000000" w:rsidR="00000000" w:rsidRPr="00000000">
        <w:rPr>
          <w:rtl w:val="0"/>
        </w:rPr>
        <w:t xml:space="preserve">reflétant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leur robustesse physiologique. Les enfants de moins de 15 ans affichent un taux de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7,6 %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signal d'une </w:t>
      </w:r>
      <w:r w:rsidDel="00000000" w:rsidR="00000000" w:rsidRPr="00000000">
        <w:rPr>
          <w:rtl w:val="0"/>
        </w:rPr>
        <w:t xml:space="preserve">vulnérabilité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infantile </w:t>
      </w:r>
      <w:r w:rsidDel="00000000" w:rsidR="00000000" w:rsidRPr="00000000">
        <w:rPr>
          <w:rtl w:val="0"/>
        </w:rPr>
        <w:t xml:space="preserve">liée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aux maladies infectieuses. La </w:t>
      </w:r>
      <w:r w:rsidDel="00000000" w:rsidR="00000000" w:rsidRPr="00000000">
        <w:rPr>
          <w:rtl w:val="0"/>
        </w:rPr>
        <w:t xml:space="preserve">morbidité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progresse ensuite </w:t>
      </w:r>
      <w:r w:rsidDel="00000000" w:rsidR="00000000" w:rsidRPr="00000000">
        <w:rPr>
          <w:rtl w:val="0"/>
        </w:rPr>
        <w:t xml:space="preserve">régulièrement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: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9,</w:t>
      </w:r>
      <w:r w:rsidDel="00000000" w:rsidR="00000000" w:rsidRPr="00000000">
        <w:rPr>
          <w:b w:val="1"/>
          <w:bCs w:val="1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%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pour les 30-44 ans,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1</w:t>
      </w:r>
      <w:r w:rsidDel="00000000" w:rsidR="00000000" w:rsidRPr="00000000">
        <w:rPr>
          <w:b w:val="1"/>
          <w:bCs w:val="1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%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pour les 45-59 ans, </w:t>
      </w:r>
      <w:r w:rsidDel="00000000" w:rsidR="00000000" w:rsidRPr="00000000">
        <w:rPr>
          <w:rtl w:val="0"/>
        </w:rPr>
        <w:t xml:space="preserve">jusqu'à atteindre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%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chez les personnes </w:t>
      </w:r>
      <w:r w:rsidDel="00000000" w:rsidR="00000000" w:rsidRPr="00000000">
        <w:rPr>
          <w:rtl w:val="0"/>
        </w:rPr>
        <w:t xml:space="preserve">âgées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60 ans et plus. Ce dernier taux, </w:t>
      </w:r>
      <w:r w:rsidDel="00000000" w:rsidR="00000000" w:rsidRPr="00000000">
        <w:rPr>
          <w:rtl w:val="0"/>
        </w:rPr>
        <w:t xml:space="preserve">près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trois fois </w:t>
      </w:r>
      <w:r w:rsidDel="00000000" w:rsidR="00000000" w:rsidRPr="00000000">
        <w:rPr>
          <w:rtl w:val="0"/>
        </w:rPr>
        <w:t xml:space="preserve">supérieur à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la moyenne nationale, illustre le poids croissant des maladies chroniques et de la </w:t>
      </w:r>
      <w:r w:rsidDel="00000000" w:rsidR="00000000" w:rsidRPr="00000000">
        <w:rPr>
          <w:rtl w:val="0"/>
        </w:rPr>
        <w:t xml:space="preserve">sénescence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dans les tranches </w:t>
      </w:r>
      <w:r w:rsidDel="00000000" w:rsidR="00000000" w:rsidRPr="00000000">
        <w:rPr>
          <w:rtl w:val="0"/>
        </w:rPr>
        <w:t xml:space="preserve">d'âge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élevées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8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95959"/>
          <w:sz w:val="22"/>
          <w:szCs w:val="22"/>
          <w:rtl w:val="0"/>
        </w:rPr>
        <w:t xml:space="preserve">Tableau 1. Taux de </w:t>
      </w:r>
      <w:r w:rsidDel="00000000" w:rsidR="00000000" w:rsidRPr="00000000">
        <w:rPr>
          <w:rtl w:val="0"/>
        </w:rPr>
        <w:t xml:space="preserve">morbidité</w:t>
      </w:r>
      <w:r w:rsidDel="00000000" w:rsidR="00000000" w:rsidRPr="00000000">
        <w:rPr>
          <w:rFonts w:ascii="Arial" w:cs="Arial" w:eastAsia="Arial" w:hAnsi="Arial"/>
          <w:b w:val="1"/>
          <w:bCs w:val="1"/>
          <w:color w:val="595959"/>
          <w:sz w:val="22"/>
          <w:szCs w:val="22"/>
          <w:rtl w:val="0"/>
        </w:rPr>
        <w:t xml:space="preserve"> par sous-groupe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159"/>
        <w:gridCol w:w="2239"/>
        <w:gridCol w:w="2240"/>
        <w:tblGridChange w:id="0">
          <w:tblGrid>
            <w:gridCol w:w="3000"/>
            <w:gridCol w:w="2159"/>
            <w:gridCol w:w="2239"/>
            <w:gridCol w:w="22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Sous-groupe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Taux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IC bas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IC haut (%)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Homme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8,4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7,8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9,0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Femme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10,3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9,7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10,9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&lt; 15 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7,6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7,0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8,2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15-29 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7,3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6,6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8,1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30-44 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9,0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8,1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10,0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45-59 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13,6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12,2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15,1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60 ans 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23,3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21,3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25,5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8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III. Distribution des types d'affections </w:t>
      </w:r>
      <w:r w:rsidDel="00000000" w:rsidR="00000000" w:rsidRPr="00000000">
        <w:rPr>
          <w:rtl w:val="0"/>
        </w:rPr>
        <w:t xml:space="preserve">déclarées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3.1 </w:t>
      </w:r>
      <w:r w:rsidDel="00000000" w:rsidR="00000000" w:rsidRPr="00000000">
        <w:rPr>
          <w:rtl w:val="0"/>
        </w:rPr>
        <w:t xml:space="preserve">Méthodologie</w:t>
      </w:r>
    </w:p>
    <w:p w:rsidR="00000000" w:rsidDel="00000000" w:rsidP="00000000" w:rsidRDefault="00000000" w:rsidRPr="00000000" w14:paraId="00000061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Les affections sont </w:t>
      </w:r>
      <w:r w:rsidDel="00000000" w:rsidR="00000000" w:rsidRPr="00000000">
        <w:rPr>
          <w:rtl w:val="0"/>
        </w:rPr>
        <w:t xml:space="preserve">identifiées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via les variables s4aq3b_1 et s4aq3b_2, qui recueillent respectivement le premier et le </w:t>
      </w:r>
      <w:r w:rsidDel="00000000" w:rsidR="00000000" w:rsidRPr="00000000">
        <w:rPr>
          <w:rtl w:val="0"/>
        </w:rPr>
        <w:t xml:space="preserve">deuxième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type de maladie ou blessure </w:t>
      </w:r>
      <w:r w:rsidDel="00000000" w:rsidR="00000000" w:rsidRPr="00000000">
        <w:rPr>
          <w:rtl w:val="0"/>
        </w:rPr>
        <w:t xml:space="preserve">déclaré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par l'individu malade. Chaque </w:t>
      </w:r>
      <w:r w:rsidDel="00000000" w:rsidR="00000000" w:rsidRPr="00000000">
        <w:rPr>
          <w:rtl w:val="0"/>
        </w:rPr>
        <w:t xml:space="preserve">modalité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numérique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 </w:t>
      </w:r>
      <w:r w:rsidDel="00000000" w:rsidR="00000000" w:rsidRPr="00000000">
        <w:rPr>
          <w:rtl w:val="0"/>
        </w:rPr>
        <w:t xml:space="preserve">été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convertie en label lisible et </w:t>
      </w:r>
      <w:r w:rsidDel="00000000" w:rsidR="00000000" w:rsidRPr="00000000">
        <w:rPr>
          <w:rtl w:val="0"/>
        </w:rPr>
        <w:t xml:space="preserve">classée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en quatre </w:t>
      </w:r>
      <w:r w:rsidDel="00000000" w:rsidR="00000000" w:rsidRPr="00000000">
        <w:rPr>
          <w:rtl w:val="0"/>
        </w:rPr>
        <w:t xml:space="preserve">catégories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: infectieuse, chronique, traumatique, et autre/</w:t>
      </w:r>
      <w:r w:rsidDel="00000000" w:rsidR="00000000" w:rsidRPr="00000000">
        <w:rPr>
          <w:rtl w:val="0"/>
        </w:rPr>
        <w:t xml:space="preserve">symptôme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3.2 </w:t>
      </w:r>
      <w:r w:rsidDel="00000000" w:rsidR="00000000" w:rsidRPr="00000000">
        <w:rPr>
          <w:rtl w:val="0"/>
        </w:rPr>
        <w:t xml:space="preserve">Résultats</w:t>
      </w:r>
    </w:p>
    <w:p w:rsidR="00000000" w:rsidDel="00000000" w:rsidP="00000000" w:rsidRDefault="00000000" w:rsidRPr="00000000" w14:paraId="00000063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19820" cy="33401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60" w:before="6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Figure 2. Top 10 des affections </w:t>
      </w: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déclarées</w:t>
      </w: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 avec classification par </w:t>
      </w: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catégorie</w:t>
      </w: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 -- GHS W4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Le paludisme arrive en </w:t>
      </w:r>
      <w:r w:rsidDel="00000000" w:rsidR="00000000" w:rsidRPr="00000000">
        <w:rPr>
          <w:b w:val="1"/>
          <w:bCs w:val="1"/>
          <w:rtl w:val="0"/>
        </w:rPr>
        <w:t xml:space="preserve">tête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avec plus </w:t>
      </w:r>
      <w:r w:rsidDel="00000000" w:rsidR="00000000" w:rsidRPr="00000000">
        <w:rPr>
          <w:rtl w:val="0"/>
        </w:rPr>
        <w:t xml:space="preserve">3 millions de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cas </w:t>
      </w:r>
      <w:r w:rsidDel="00000000" w:rsidR="00000000" w:rsidRPr="00000000">
        <w:rPr>
          <w:rtl w:val="0"/>
        </w:rPr>
        <w:t xml:space="preserve">déclarés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soit la pathologie la plus </w:t>
      </w:r>
      <w:r w:rsidDel="00000000" w:rsidR="00000000" w:rsidRPr="00000000">
        <w:rPr>
          <w:rtl w:val="0"/>
        </w:rPr>
        <w:t xml:space="preserve">fréquente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parmi les individus malades. Ce </w:t>
      </w:r>
      <w:r w:rsidDel="00000000" w:rsidR="00000000" w:rsidRPr="00000000">
        <w:rPr>
          <w:rtl w:val="0"/>
        </w:rPr>
        <w:t xml:space="preserve">résultat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est </w:t>
      </w:r>
      <w:r w:rsidDel="00000000" w:rsidR="00000000" w:rsidRPr="00000000">
        <w:rPr>
          <w:rtl w:val="0"/>
        </w:rPr>
        <w:t xml:space="preserve">cohérent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avec le profil </w:t>
      </w:r>
      <w:r w:rsidDel="00000000" w:rsidR="00000000" w:rsidRPr="00000000">
        <w:rPr>
          <w:rtl w:val="0"/>
        </w:rPr>
        <w:t xml:space="preserve">épidémiologique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du Nigeria, pays </w:t>
      </w:r>
      <w:r w:rsidDel="00000000" w:rsidR="00000000" w:rsidRPr="00000000">
        <w:rPr>
          <w:rtl w:val="0"/>
        </w:rPr>
        <w:t xml:space="preserve">à forte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transmission palustre. En </w:t>
      </w:r>
      <w:r w:rsidDel="00000000" w:rsidR="00000000" w:rsidRPr="00000000">
        <w:rPr>
          <w:rtl w:val="0"/>
        </w:rPr>
        <w:t xml:space="preserve">deuxième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position, les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douleurs corporelles </w:t>
      </w:r>
      <w:r w:rsidDel="00000000" w:rsidR="00000000" w:rsidRPr="00000000">
        <w:rPr>
          <w:b w:val="1"/>
          <w:bCs w:val="1"/>
          <w:rtl w:val="0"/>
        </w:rPr>
        <w:t xml:space="preserve">généralisées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(</w:t>
      </w:r>
      <w:r w:rsidDel="00000000" w:rsidR="00000000" w:rsidRPr="00000000">
        <w:rPr>
          <w:rtl w:val="0"/>
        </w:rPr>
        <w:t xml:space="preserve">2,523 millions de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cas) constituent le premier </w:t>
      </w:r>
      <w:r w:rsidDel="00000000" w:rsidR="00000000" w:rsidRPr="00000000">
        <w:rPr>
          <w:rtl w:val="0"/>
        </w:rPr>
        <w:t xml:space="preserve">symptôme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non </w:t>
      </w:r>
      <w:r w:rsidDel="00000000" w:rsidR="00000000" w:rsidRPr="00000000">
        <w:rPr>
          <w:rtl w:val="0"/>
        </w:rPr>
        <w:t xml:space="preserve">spécifique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déclaré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</w:t>
      </w:r>
      <w:r w:rsidDel="00000000" w:rsidR="00000000" w:rsidRPr="00000000">
        <w:rPr>
          <w:rtl w:val="0"/>
        </w:rPr>
        <w:t xml:space="preserve">reflétant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une </w:t>
      </w:r>
      <w:r w:rsidDel="00000000" w:rsidR="00000000" w:rsidRPr="00000000">
        <w:rPr>
          <w:rtl w:val="0"/>
        </w:rPr>
        <w:t xml:space="preserve">morbidité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diffuse souvent </w:t>
      </w:r>
      <w:r w:rsidDel="00000000" w:rsidR="00000000" w:rsidRPr="00000000">
        <w:rPr>
          <w:rtl w:val="0"/>
        </w:rPr>
        <w:t xml:space="preserve">associée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à la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fatigue, aux infections ou aux maladies chroniques non </w:t>
      </w:r>
      <w:r w:rsidDel="00000000" w:rsidR="00000000" w:rsidRPr="00000000">
        <w:rPr>
          <w:rtl w:val="0"/>
        </w:rPr>
        <w:t xml:space="preserve">diagnostiquées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Les affections du groupe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Autre/</w:t>
      </w:r>
      <w:r w:rsidDel="00000000" w:rsidR="00000000" w:rsidRPr="00000000">
        <w:rPr>
          <w:b w:val="1"/>
          <w:bCs w:val="1"/>
          <w:rtl w:val="0"/>
        </w:rPr>
        <w:t xml:space="preserve">Symptôme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-- </w:t>
      </w:r>
      <w:r w:rsidDel="00000000" w:rsidR="00000000" w:rsidRPr="00000000">
        <w:rPr>
          <w:rtl w:val="0"/>
        </w:rPr>
        <w:t xml:space="preserve">céphalées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(</w:t>
      </w:r>
      <w:r w:rsidDel="00000000" w:rsidR="00000000" w:rsidRPr="00000000">
        <w:rPr>
          <w:rtl w:val="0"/>
        </w:rPr>
        <w:t xml:space="preserve">214K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cas), catarrhe (</w:t>
      </w:r>
      <w:r w:rsidDel="00000000" w:rsidR="00000000" w:rsidRPr="00000000">
        <w:rPr>
          <w:rtl w:val="0"/>
        </w:rPr>
        <w:t xml:space="preserve">1645 K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), toux (</w:t>
      </w:r>
      <w:r w:rsidDel="00000000" w:rsidR="00000000" w:rsidRPr="00000000">
        <w:rPr>
          <w:rtl w:val="0"/>
        </w:rPr>
        <w:t xml:space="preserve">1603 K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), rhume (123) -- </w:t>
      </w:r>
      <w:r w:rsidDel="00000000" w:rsidR="00000000" w:rsidRPr="00000000">
        <w:rPr>
          <w:rtl w:val="0"/>
        </w:rPr>
        <w:t xml:space="preserve">représentent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une part importante du tableau morbide et correspondent </w:t>
      </w:r>
      <w:r w:rsidDel="00000000" w:rsidR="00000000" w:rsidRPr="00000000">
        <w:rPr>
          <w:rtl w:val="0"/>
        </w:rPr>
        <w:t xml:space="preserve">à des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symptômes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souvent </w:t>
      </w:r>
      <w:r w:rsidDel="00000000" w:rsidR="00000000" w:rsidRPr="00000000">
        <w:rPr>
          <w:rtl w:val="0"/>
        </w:rPr>
        <w:t xml:space="preserve">associés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aux infections respiratoires ou au paludisme lui-</w:t>
      </w:r>
      <w:r w:rsidDel="00000000" w:rsidR="00000000" w:rsidRPr="00000000">
        <w:rPr>
          <w:rtl w:val="0"/>
        </w:rPr>
        <w:t xml:space="preserve">même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 La </w:t>
      </w:r>
      <w:r w:rsidDel="00000000" w:rsidR="00000000" w:rsidRPr="00000000">
        <w:rPr>
          <w:b w:val="1"/>
          <w:bCs w:val="1"/>
          <w:rtl w:val="0"/>
        </w:rPr>
        <w:t xml:space="preserve">typhoïde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(</w:t>
      </w:r>
      <w:r w:rsidDel="00000000" w:rsidR="00000000" w:rsidRPr="00000000">
        <w:rPr>
          <w:rtl w:val="0"/>
        </w:rPr>
        <w:t xml:space="preserve">296K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cas) et </w:t>
      </w:r>
      <w:r w:rsidDel="00000000" w:rsidR="00000000" w:rsidRPr="00000000">
        <w:rPr>
          <w:rtl w:val="0"/>
        </w:rPr>
        <w:t xml:space="preserve">l'ulcère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/douleur stomacale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(</w:t>
      </w:r>
      <w:r w:rsidDel="00000000" w:rsidR="00000000" w:rsidRPr="00000000">
        <w:rPr>
          <w:rtl w:val="0"/>
        </w:rPr>
        <w:t xml:space="preserve">460K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cas) signalent </w:t>
      </w:r>
      <w:r w:rsidDel="00000000" w:rsidR="00000000" w:rsidRPr="00000000">
        <w:rPr>
          <w:rtl w:val="0"/>
        </w:rPr>
        <w:t xml:space="preserve">également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la persistance de maladies hydro-</w:t>
      </w:r>
      <w:r w:rsidDel="00000000" w:rsidR="00000000" w:rsidRPr="00000000">
        <w:rPr>
          <w:rtl w:val="0"/>
        </w:rPr>
        <w:t xml:space="preserve">fécales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et digestives.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6" w:val="single"/>
              <w:left w:color="2e75b6" w:space="0" w:sz="6" w:val="single"/>
              <w:bottom w:color="cccccc" w:space="0" w:sz="4" w:val="single"/>
              <w:right w:color="000000" w:space="0" w:sz="0" w:val="nil"/>
            </w:tcBorders>
            <w:shd w:fill="ebf3fb" w:val="clear"/>
            <w:tcMar>
              <w:top w:w="120.0" w:type="dxa"/>
              <w:left w:w="160.0" w:type="dxa"/>
              <w:bottom w:w="12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spacing w:after="80" w:before="80" w:lineRule="auto"/>
              <w:rPr/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Interprétation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 par </w:t>
            </w: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catégorie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Infectieuses (Malaria,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Typhoïde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) : dominent avec </w:t>
            </w:r>
            <w:r w:rsidDel="00000000" w:rsidR="00000000" w:rsidRPr="00000000">
              <w:rPr>
                <w:rtl w:val="0"/>
              </w:rPr>
              <w:t xml:space="preserve">près 4 millions de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cas, reflet d'un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accès à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l'eau potable encore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limité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Autres/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Symptômes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Céphalée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, Toux, Rhume...) :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près de 3 millions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cas au total, souvent indicateurs de poly-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morbidité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Chroniques (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Ulcère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/douleur estomac) :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460K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cas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déclarés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, sous-estimation probable par manque de diagnostic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Traumatiques (Blessures) :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256K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cas,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révélateurs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de conditions de travail et de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sécurité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insuffisantes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8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IV. Recours aux soins par type de prestataire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4.1 </w:t>
      </w:r>
      <w:r w:rsidDel="00000000" w:rsidR="00000000" w:rsidRPr="00000000">
        <w:rPr>
          <w:rtl w:val="0"/>
        </w:rPr>
        <w:t xml:space="preserve">Méthodologie</w:t>
      </w:r>
    </w:p>
    <w:p w:rsidR="00000000" w:rsidDel="00000000" w:rsidP="00000000" w:rsidRDefault="00000000" w:rsidRPr="00000000" w14:paraId="00000073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Les variables s4aq6a et s4aq6b enregistrent les deux types de prestataires </w:t>
      </w:r>
      <w:r w:rsidDel="00000000" w:rsidR="00000000" w:rsidRPr="00000000">
        <w:rPr>
          <w:rtl w:val="0"/>
        </w:rPr>
        <w:t xml:space="preserve">consultés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par les individus malades ayant </w:t>
      </w:r>
      <w:r w:rsidDel="00000000" w:rsidR="00000000" w:rsidRPr="00000000">
        <w:rPr>
          <w:rtl w:val="0"/>
        </w:rPr>
        <w:t xml:space="preserve">cherché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des soins. L'analyse porte sur l'ensemble des consultations </w:t>
      </w:r>
      <w:r w:rsidDel="00000000" w:rsidR="00000000" w:rsidRPr="00000000">
        <w:rPr>
          <w:rtl w:val="0"/>
        </w:rPr>
        <w:t xml:space="preserve">déclarées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(tous rangs confondus), en calculant la </w:t>
      </w:r>
      <w:r w:rsidDel="00000000" w:rsidR="00000000" w:rsidRPr="00000000">
        <w:rPr>
          <w:rtl w:val="0"/>
        </w:rPr>
        <w:t xml:space="preserve">fréquence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relative de chaque type de prestataire parmi l'ensemble des recours </w:t>
      </w:r>
      <w:r w:rsidDel="00000000" w:rsidR="00000000" w:rsidRPr="00000000">
        <w:rPr>
          <w:rtl w:val="0"/>
        </w:rPr>
        <w:t xml:space="preserve">enregistrés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4.2 </w:t>
      </w:r>
      <w:r w:rsidDel="00000000" w:rsidR="00000000" w:rsidRPr="00000000">
        <w:rPr>
          <w:rtl w:val="0"/>
        </w:rPr>
        <w:t xml:space="preserve">Résultats</w:t>
      </w:r>
    </w:p>
    <w:p w:rsidR="00000000" w:rsidDel="00000000" w:rsidP="00000000" w:rsidRDefault="00000000" w:rsidRPr="00000000" w14:paraId="00000075">
      <w:pPr>
        <w:spacing w:after="6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19820" cy="38989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60" w:before="6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Figure 3. Distribution des recours aux soins par type de prestataire -- GHS W4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Le chimiste/pharmacie de quartier constitue de loin le premier recours aux soins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concentrant 4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% des consultations </w:t>
      </w:r>
      <w:r w:rsidDel="00000000" w:rsidR="00000000" w:rsidRPr="00000000">
        <w:rPr>
          <w:rtl w:val="0"/>
        </w:rPr>
        <w:t xml:space="preserve">déclarées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 Ce </w:t>
      </w:r>
      <w:r w:rsidDel="00000000" w:rsidR="00000000" w:rsidRPr="00000000">
        <w:rPr>
          <w:rtl w:val="0"/>
        </w:rPr>
        <w:t xml:space="preserve">résultat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illustre la </w:t>
      </w:r>
      <w:r w:rsidDel="00000000" w:rsidR="00000000" w:rsidRPr="00000000">
        <w:rPr>
          <w:rtl w:val="0"/>
        </w:rPr>
        <w:t xml:space="preserve">prédominance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</w:t>
      </w:r>
      <w:r w:rsidDel="00000000" w:rsidR="00000000" w:rsidRPr="00000000">
        <w:rPr>
          <w:rtl w:val="0"/>
        </w:rPr>
        <w:t xml:space="preserve">l'automédication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guidée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par le vendeur de </w:t>
      </w:r>
      <w:r w:rsidDel="00000000" w:rsidR="00000000" w:rsidRPr="00000000">
        <w:rPr>
          <w:rtl w:val="0"/>
        </w:rPr>
        <w:t xml:space="preserve">médicaments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pratique courante au Nigeria en raison de sa </w:t>
      </w:r>
      <w:r w:rsidDel="00000000" w:rsidR="00000000" w:rsidRPr="00000000">
        <w:rPr>
          <w:rtl w:val="0"/>
        </w:rPr>
        <w:t xml:space="preserve">proximité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de son </w:t>
      </w:r>
      <w:r w:rsidDel="00000000" w:rsidR="00000000" w:rsidRPr="00000000">
        <w:rPr>
          <w:rtl w:val="0"/>
        </w:rPr>
        <w:t xml:space="preserve">coût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réduit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et de l'absence de </w:t>
      </w:r>
      <w:r w:rsidDel="00000000" w:rsidR="00000000" w:rsidRPr="00000000">
        <w:rPr>
          <w:rtl w:val="0"/>
        </w:rPr>
        <w:t xml:space="preserve">nécessité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rendez-vous. Le </w:t>
      </w:r>
      <w:r w:rsidDel="00000000" w:rsidR="00000000" w:rsidRPr="00000000">
        <w:rPr>
          <w:b w:val="1"/>
          <w:bCs w:val="1"/>
          <w:rtl w:val="0"/>
        </w:rPr>
        <w:t xml:space="preserve">médecin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arrive en </w:t>
      </w:r>
      <w:r w:rsidDel="00000000" w:rsidR="00000000" w:rsidRPr="00000000">
        <w:rPr>
          <w:rtl w:val="0"/>
        </w:rPr>
        <w:t xml:space="preserve">deuxième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position (19 %), suivi de la </w:t>
      </w:r>
      <w:r w:rsidDel="00000000" w:rsidR="00000000" w:rsidRPr="00000000">
        <w:rPr>
          <w:rtl w:val="0"/>
        </w:rPr>
        <w:t xml:space="preserve">catégorie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Aucun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(1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%), qui </w:t>
      </w:r>
      <w:r w:rsidDel="00000000" w:rsidR="00000000" w:rsidRPr="00000000">
        <w:rPr>
          <w:rtl w:val="0"/>
        </w:rPr>
        <w:t xml:space="preserve">représente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les individus malades n'ayant </w:t>
      </w:r>
      <w:r w:rsidDel="00000000" w:rsidR="00000000" w:rsidRPr="00000000">
        <w:rPr>
          <w:rtl w:val="0"/>
        </w:rPr>
        <w:t xml:space="preserve">consulté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aucun prestataire -- signe d'une </w:t>
      </w:r>
      <w:r w:rsidDel="00000000" w:rsidR="00000000" w:rsidRPr="00000000">
        <w:rPr>
          <w:rtl w:val="0"/>
        </w:rPr>
        <w:t xml:space="preserve">barrière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d'accès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aux soins importante.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L'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infirmier(e)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(8 %) et le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pharmacien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(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,5 %) </w:t>
      </w:r>
      <w:r w:rsidDel="00000000" w:rsidR="00000000" w:rsidRPr="00000000">
        <w:rPr>
          <w:rtl w:val="0"/>
        </w:rPr>
        <w:t xml:space="preserve">représentent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ensemble 1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% des recours, soulignant le </w:t>
      </w:r>
      <w:r w:rsidDel="00000000" w:rsidR="00000000" w:rsidRPr="00000000">
        <w:rPr>
          <w:rtl w:val="0"/>
        </w:rPr>
        <w:t xml:space="preserve">rôle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des </w:t>
      </w:r>
      <w:r w:rsidDel="00000000" w:rsidR="00000000" w:rsidRPr="00000000">
        <w:rPr>
          <w:rtl w:val="0"/>
        </w:rPr>
        <w:t xml:space="preserve">paramédicaux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dans la prise en charge. Le </w:t>
      </w:r>
      <w:r w:rsidDel="00000000" w:rsidR="00000000" w:rsidRPr="00000000">
        <w:rPr>
          <w:b w:val="1"/>
          <w:bCs w:val="1"/>
          <w:rtl w:val="0"/>
        </w:rPr>
        <w:t xml:space="preserve">guérisseur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traditionnel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(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%) maintient une </w:t>
      </w:r>
      <w:r w:rsidDel="00000000" w:rsidR="00000000" w:rsidRPr="00000000">
        <w:rPr>
          <w:rtl w:val="0"/>
        </w:rPr>
        <w:t xml:space="preserve">présence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significative, </w:t>
      </w:r>
      <w:r w:rsidDel="00000000" w:rsidR="00000000" w:rsidRPr="00000000">
        <w:rPr>
          <w:rtl w:val="0"/>
        </w:rPr>
        <w:t xml:space="preserve">particulièrement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en milieu rural. Les agents de </w:t>
      </w:r>
      <w:r w:rsidDel="00000000" w:rsidR="00000000" w:rsidRPr="00000000">
        <w:rPr>
          <w:rtl w:val="0"/>
        </w:rPr>
        <w:t xml:space="preserve">santé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communautaires (CHEW : 2,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% ; JCHEW : 1,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%) ont une </w:t>
      </w:r>
      <w:r w:rsidDel="00000000" w:rsidR="00000000" w:rsidRPr="00000000">
        <w:rPr>
          <w:rtl w:val="0"/>
        </w:rPr>
        <w:t xml:space="preserve">pénétration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encore </w:t>
      </w:r>
      <w:r w:rsidDel="00000000" w:rsidR="00000000" w:rsidRPr="00000000">
        <w:rPr>
          <w:rtl w:val="0"/>
        </w:rPr>
        <w:t xml:space="preserve">limitée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malgré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leur </w:t>
      </w:r>
      <w:r w:rsidDel="00000000" w:rsidR="00000000" w:rsidRPr="00000000">
        <w:rPr>
          <w:rtl w:val="0"/>
        </w:rPr>
        <w:t xml:space="preserve">rôle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stratégique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dans la politique de </w:t>
      </w:r>
      <w:r w:rsidDel="00000000" w:rsidR="00000000" w:rsidRPr="00000000">
        <w:rPr>
          <w:rtl w:val="0"/>
        </w:rPr>
        <w:t xml:space="preserve">santé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primaire du Nigeria.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6" w:val="single"/>
              <w:left w:color="2e75b6" w:space="0" w:sz="6" w:val="single"/>
              <w:bottom w:color="cccccc" w:space="0" w:sz="4" w:val="single"/>
              <w:right w:color="000000" w:space="0" w:sz="0" w:val="nil"/>
            </w:tcBorders>
            <w:shd w:fill="ebf3fb" w:val="clear"/>
            <w:tcMar>
              <w:top w:w="120.0" w:type="dxa"/>
              <w:left w:w="160.0" w:type="dxa"/>
              <w:bottom w:w="12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Points </w:t>
            </w: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clés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 sur le recours aux soins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4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,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5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% des recours se font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auprès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du chimiste --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accès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informel dominant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13,2 % des individus malades ne consultent aucun prestataire --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barrière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financière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et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géographique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Sous-recours au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système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formel :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médecin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+ infirmier + CHEW = seulement 31,1 % des consultations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Persistance du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guérisseur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traditionnel (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%)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reflétant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les pratiques culturelles locales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spacing w:after="8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V. Distribution des depenses de 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5.1 Construction de la variable de </w:t>
      </w:r>
      <w:r w:rsidDel="00000000" w:rsidR="00000000" w:rsidRPr="00000000">
        <w:rPr>
          <w:rtl w:val="0"/>
        </w:rPr>
        <w:t xml:space="preserve">dépense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 totale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La </w:t>
      </w:r>
      <w:r w:rsidDel="00000000" w:rsidR="00000000" w:rsidRPr="00000000">
        <w:rPr>
          <w:rtl w:val="0"/>
        </w:rPr>
        <w:t xml:space="preserve">dépense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totale de </w:t>
      </w:r>
      <w:r w:rsidDel="00000000" w:rsidR="00000000" w:rsidRPr="00000000">
        <w:rPr>
          <w:rtl w:val="0"/>
        </w:rPr>
        <w:t xml:space="preserve">santé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est construite comme la somme de trois composantes directes </w:t>
      </w:r>
      <w:r w:rsidDel="00000000" w:rsidR="00000000" w:rsidRPr="00000000">
        <w:rPr>
          <w:rtl w:val="0"/>
        </w:rPr>
        <w:t xml:space="preserve">collectées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dans le module </w:t>
      </w:r>
      <w:r w:rsidDel="00000000" w:rsidR="00000000" w:rsidRPr="00000000">
        <w:rPr>
          <w:rtl w:val="0"/>
        </w:rPr>
        <w:t xml:space="preserve">santé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: les frais de consultation (s4aq9), les achats de </w:t>
      </w:r>
      <w:r w:rsidDel="00000000" w:rsidR="00000000" w:rsidRPr="00000000">
        <w:rPr>
          <w:rtl w:val="0"/>
        </w:rPr>
        <w:t xml:space="preserve">médicaments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hors consultation (s4aq14), et les frais d'hospitalisation (s4aq17). Cette mesure couvre les paiements directs (out-of-pocket) mais exclut les cotisations d'assurance et les </w:t>
      </w:r>
      <w:r w:rsidDel="00000000" w:rsidR="00000000" w:rsidRPr="00000000">
        <w:rPr>
          <w:rtl w:val="0"/>
        </w:rPr>
        <w:t xml:space="preserve">coûts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transport. La transformation logarithmique est </w:t>
      </w:r>
      <w:r w:rsidDel="00000000" w:rsidR="00000000" w:rsidRPr="00000000">
        <w:rPr>
          <w:rtl w:val="0"/>
        </w:rPr>
        <w:t xml:space="preserve">appliquée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pour </w:t>
      </w:r>
      <w:r w:rsidDel="00000000" w:rsidR="00000000" w:rsidRPr="00000000">
        <w:rPr>
          <w:rtl w:val="0"/>
        </w:rPr>
        <w:t xml:space="preserve">linéariser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la distribution </w:t>
      </w:r>
      <w:r w:rsidDel="00000000" w:rsidR="00000000" w:rsidRPr="00000000">
        <w:rPr>
          <w:rtl w:val="0"/>
        </w:rPr>
        <w:t xml:space="preserve">très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asymétrique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5.2 </w:t>
      </w:r>
      <w:r w:rsidDel="00000000" w:rsidR="00000000" w:rsidRPr="00000000">
        <w:rPr>
          <w:rtl w:val="0"/>
        </w:rPr>
        <w:t xml:space="preserve">Résultats</w:t>
      </w:r>
    </w:p>
    <w:p w:rsidR="00000000" w:rsidDel="00000000" w:rsidP="00000000" w:rsidRDefault="00000000" w:rsidRPr="00000000" w14:paraId="0000008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19820" cy="61214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612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60" w:before="6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Figure 4. Distribution des depenses de sante et comparaison par prestataire -- GHS W4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La distribution des </w:t>
      </w:r>
      <w:r w:rsidDel="00000000" w:rsidR="00000000" w:rsidRPr="00000000">
        <w:rPr>
          <w:rtl w:val="0"/>
        </w:rPr>
        <w:t xml:space="preserve">dépenses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est fortement </w:t>
      </w:r>
      <w:r w:rsidDel="00000000" w:rsidR="00000000" w:rsidRPr="00000000">
        <w:rPr>
          <w:rtl w:val="0"/>
        </w:rPr>
        <w:t xml:space="preserve">asymétrique à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droite, comme en </w:t>
      </w:r>
      <w:r w:rsidDel="00000000" w:rsidR="00000000" w:rsidRPr="00000000">
        <w:rPr>
          <w:rtl w:val="0"/>
        </w:rPr>
        <w:t xml:space="preserve">témoigne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un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coefficient de variation (CV) de 3,8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valeur </w:t>
      </w:r>
      <w:r w:rsidDel="00000000" w:rsidR="00000000" w:rsidRPr="00000000">
        <w:rPr>
          <w:rtl w:val="0"/>
        </w:rPr>
        <w:t xml:space="preserve">extrêmement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élevée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indiquant une </w:t>
      </w:r>
      <w:r w:rsidDel="00000000" w:rsidR="00000000" w:rsidRPr="00000000">
        <w:rPr>
          <w:rtl w:val="0"/>
        </w:rPr>
        <w:t xml:space="preserve">très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forte dispersion. La </w:t>
      </w:r>
      <w:r w:rsidDel="00000000" w:rsidR="00000000" w:rsidRPr="00000000">
        <w:rPr>
          <w:b w:val="1"/>
          <w:bCs w:val="1"/>
          <w:rtl w:val="0"/>
        </w:rPr>
        <w:t xml:space="preserve">médiane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est à </w:t>
      </w:r>
      <w:r w:rsidDel="00000000" w:rsidR="00000000" w:rsidRPr="00000000">
        <w:rPr>
          <w:rtl w:val="0"/>
        </w:rPr>
        <w:t xml:space="preserve">près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3,6 fois </w:t>
      </w:r>
      <w:r w:rsidDel="00000000" w:rsidR="00000000" w:rsidRPr="00000000">
        <w:rPr>
          <w:rtl w:val="0"/>
        </w:rPr>
        <w:t xml:space="preserve">inférieure à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la moyenne </w:t>
      </w:r>
      <w:r w:rsidDel="00000000" w:rsidR="00000000" w:rsidRPr="00000000">
        <w:rPr>
          <w:rtl w:val="0"/>
        </w:rPr>
        <w:t xml:space="preserve">arithmétique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, ce qui signale l'existence de quelques </w:t>
      </w:r>
      <w:r w:rsidDel="00000000" w:rsidR="00000000" w:rsidRPr="00000000">
        <w:rPr>
          <w:rtl w:val="0"/>
        </w:rPr>
        <w:t xml:space="preserve">dépenses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très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élevées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qui tirent la moyenne vers le haut. La transformation logarithmique (Figure 4a) </w:t>
      </w:r>
      <w:r w:rsidDel="00000000" w:rsidR="00000000" w:rsidRPr="00000000">
        <w:rPr>
          <w:rtl w:val="0"/>
        </w:rPr>
        <w:t xml:space="preserve">révèle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une distribution se rapprochant de la loi log-normale, </w:t>
      </w:r>
      <w:r w:rsidDel="00000000" w:rsidR="00000000" w:rsidRPr="00000000">
        <w:rPr>
          <w:rtl w:val="0"/>
        </w:rPr>
        <w:t xml:space="preserve">centrée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L'analyse par prestataire (Figure 4b) montre que les consultations chez le </w:t>
      </w:r>
      <w:r w:rsidDel="00000000" w:rsidR="00000000" w:rsidRPr="00000000">
        <w:rPr>
          <w:b w:val="1"/>
          <w:bCs w:val="1"/>
          <w:rtl w:val="0"/>
        </w:rPr>
        <w:t xml:space="preserve">médecin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sont les plus </w:t>
      </w:r>
      <w:r w:rsidDel="00000000" w:rsidR="00000000" w:rsidRPr="00000000">
        <w:rPr>
          <w:rtl w:val="0"/>
        </w:rPr>
        <w:t xml:space="preserve">coûteuses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avec un IQR </w:t>
      </w:r>
      <w:r w:rsidDel="00000000" w:rsidR="00000000" w:rsidRPr="00000000">
        <w:rPr>
          <w:rtl w:val="0"/>
        </w:rPr>
        <w:t xml:space="preserve">très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étendu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reflétant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la </w:t>
      </w:r>
      <w:r w:rsidDel="00000000" w:rsidR="00000000" w:rsidRPr="00000000">
        <w:rPr>
          <w:rtl w:val="0"/>
        </w:rPr>
        <w:t xml:space="preserve">variabilité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des tarifs selon les </w:t>
      </w:r>
      <w:r w:rsidDel="00000000" w:rsidR="00000000" w:rsidRPr="00000000">
        <w:rPr>
          <w:rtl w:val="0"/>
        </w:rPr>
        <w:t xml:space="preserve">établissements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(public vs </w:t>
      </w:r>
      <w:r w:rsidDel="00000000" w:rsidR="00000000" w:rsidRPr="00000000">
        <w:rPr>
          <w:rtl w:val="0"/>
        </w:rPr>
        <w:t xml:space="preserve">privé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). Le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chimiste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et </w:t>
      </w:r>
      <w:r w:rsidDel="00000000" w:rsidR="00000000" w:rsidRPr="00000000">
        <w:rPr>
          <w:rtl w:val="0"/>
        </w:rPr>
        <w:t xml:space="preserve">l'infirmier présentent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des </w:t>
      </w:r>
      <w:r w:rsidDel="00000000" w:rsidR="00000000" w:rsidRPr="00000000">
        <w:rPr>
          <w:rtl w:val="0"/>
        </w:rPr>
        <w:t xml:space="preserve">coûts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médianes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plus faibles et une variance moindre, ce qui explique leur </w:t>
      </w:r>
      <w:r w:rsidDel="00000000" w:rsidR="00000000" w:rsidRPr="00000000">
        <w:rPr>
          <w:rtl w:val="0"/>
        </w:rPr>
        <w:t xml:space="preserve">attractivité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pour les </w:t>
      </w:r>
      <w:r w:rsidDel="00000000" w:rsidR="00000000" w:rsidRPr="00000000">
        <w:rPr>
          <w:rtl w:val="0"/>
        </w:rPr>
        <w:t xml:space="preserve">ménages à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revenus </w:t>
      </w:r>
      <w:r w:rsidDel="00000000" w:rsidR="00000000" w:rsidRPr="00000000">
        <w:rPr>
          <w:rtl w:val="0"/>
        </w:rPr>
        <w:t xml:space="preserve">limités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 Le </w:t>
      </w:r>
      <w:r w:rsidDel="00000000" w:rsidR="00000000" w:rsidRPr="00000000">
        <w:rPr>
          <w:b w:val="1"/>
          <w:bCs w:val="1"/>
          <w:rtl w:val="0"/>
        </w:rPr>
        <w:t xml:space="preserve">guérisseur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 traditionnel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affiche une </w:t>
      </w:r>
      <w:r w:rsidDel="00000000" w:rsidR="00000000" w:rsidRPr="00000000">
        <w:rPr>
          <w:rtl w:val="0"/>
        </w:rPr>
        <w:t xml:space="preserve">variabilité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très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large, certains honoraires pouvant </w:t>
      </w:r>
      <w:r w:rsidDel="00000000" w:rsidR="00000000" w:rsidRPr="00000000">
        <w:rPr>
          <w:rtl w:val="0"/>
        </w:rPr>
        <w:t xml:space="preserve">être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très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élevés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8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VI. Comparaison des </w:t>
      </w:r>
      <w:r w:rsidDel="00000000" w:rsidR="00000000" w:rsidRPr="00000000">
        <w:rPr>
          <w:rtl w:val="0"/>
        </w:rPr>
        <w:t xml:space="preserve">dépenses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 rural / urbain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6.1 </w:t>
      </w:r>
      <w:r w:rsidDel="00000000" w:rsidR="00000000" w:rsidRPr="00000000">
        <w:rPr>
          <w:rtl w:val="0"/>
        </w:rPr>
        <w:t xml:space="preserve">Méthodologie</w:t>
      </w:r>
    </w:p>
    <w:p w:rsidR="00000000" w:rsidDel="00000000" w:rsidP="00000000" w:rsidRDefault="00000000" w:rsidRPr="00000000" w14:paraId="0000008F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La comparaison des </w:t>
      </w:r>
      <w:r w:rsidDel="00000000" w:rsidR="00000000" w:rsidRPr="00000000">
        <w:rPr>
          <w:rtl w:val="0"/>
        </w:rPr>
        <w:t xml:space="preserve">dépenses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</w:t>
      </w:r>
      <w:r w:rsidDel="00000000" w:rsidR="00000000" w:rsidRPr="00000000">
        <w:rPr>
          <w:rtl w:val="0"/>
        </w:rPr>
        <w:t xml:space="preserve">santé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entre zones rurales et urbaines est </w:t>
      </w:r>
      <w:r w:rsidDel="00000000" w:rsidR="00000000" w:rsidRPr="00000000">
        <w:rPr>
          <w:rtl w:val="0"/>
        </w:rPr>
        <w:t xml:space="preserve">réalisée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par le test non </w:t>
      </w:r>
      <w:r w:rsidDel="00000000" w:rsidR="00000000" w:rsidRPr="00000000">
        <w:rPr>
          <w:rtl w:val="0"/>
        </w:rPr>
        <w:t xml:space="preserve">paramétrique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Wilcoxon-Mann-Whitney, </w:t>
      </w:r>
      <w:r w:rsidDel="00000000" w:rsidR="00000000" w:rsidRPr="00000000">
        <w:rPr>
          <w:rtl w:val="0"/>
        </w:rPr>
        <w:t xml:space="preserve">approprié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pour des distributions </w:t>
      </w:r>
      <w:r w:rsidDel="00000000" w:rsidR="00000000" w:rsidRPr="00000000">
        <w:rPr>
          <w:rtl w:val="0"/>
        </w:rPr>
        <w:t xml:space="preserve">asymétriques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sans </w:t>
      </w:r>
      <w:r w:rsidDel="00000000" w:rsidR="00000000" w:rsidRPr="00000000">
        <w:rPr>
          <w:rtl w:val="0"/>
        </w:rPr>
        <w:t xml:space="preserve">hypothèse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</w:t>
      </w:r>
      <w:r w:rsidDel="00000000" w:rsidR="00000000" w:rsidRPr="00000000">
        <w:rPr>
          <w:rtl w:val="0"/>
        </w:rPr>
        <w:t xml:space="preserve">normalité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 La taille d'effet est </w:t>
      </w:r>
      <w:r w:rsidDel="00000000" w:rsidR="00000000" w:rsidRPr="00000000">
        <w:rPr>
          <w:rtl w:val="0"/>
        </w:rPr>
        <w:t xml:space="preserve">mesurée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par le r de rang (r = Z / sqrt(N)), </w:t>
      </w:r>
      <w:r w:rsidDel="00000000" w:rsidR="00000000" w:rsidRPr="00000000">
        <w:rPr>
          <w:rtl w:val="0"/>
        </w:rPr>
        <w:t xml:space="preserve">interprété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selon les seuils de Cohen : petit (r &lt; 0,1), </w:t>
      </w:r>
      <w:r w:rsidDel="00000000" w:rsidR="00000000" w:rsidRPr="00000000">
        <w:rPr>
          <w:rtl w:val="0"/>
        </w:rPr>
        <w:t xml:space="preserve">modéré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(0,1 &lt;= r &lt; 0,3), grand (r &gt;= 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6.2 </w:t>
      </w:r>
      <w:r w:rsidDel="00000000" w:rsidR="00000000" w:rsidRPr="00000000">
        <w:rPr>
          <w:rtl w:val="0"/>
        </w:rPr>
        <w:t xml:space="preserve">Résultats</w:t>
      </w:r>
    </w:p>
    <w:p w:rsidR="00000000" w:rsidDel="00000000" w:rsidP="00000000" w:rsidRDefault="00000000" w:rsidRPr="00000000" w14:paraId="0000009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19820" cy="53594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535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60" w:before="6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Figure 5. Distribution des depenses de sante selon la zone de residence -- Violin plot + boxplot (log) | GHS W4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95959"/>
          <w:sz w:val="22"/>
          <w:szCs w:val="22"/>
          <w:rtl w:val="0"/>
        </w:rPr>
        <w:t xml:space="preserve">Statistiques par zone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4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6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Le test de Wilcoxon-Mann-Whitney aboutit a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p = 0,365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avec une taille d'effet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r = 0,010 (small)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 Ces </w:t>
      </w:r>
      <w:r w:rsidDel="00000000" w:rsidR="00000000" w:rsidRPr="00000000">
        <w:rPr>
          <w:rtl w:val="0"/>
        </w:rPr>
        <w:t xml:space="preserve">résultats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indiquent que la </w:t>
      </w:r>
      <w:r w:rsidDel="00000000" w:rsidR="00000000" w:rsidRPr="00000000">
        <w:rPr>
          <w:rtl w:val="0"/>
        </w:rPr>
        <w:t xml:space="preserve">différence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</w:t>
      </w:r>
      <w:r w:rsidDel="00000000" w:rsidR="00000000" w:rsidRPr="00000000">
        <w:rPr>
          <w:rtl w:val="0"/>
        </w:rPr>
        <w:t xml:space="preserve">dépenses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médianes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entre zones urbaines  et rurales  n'est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pas statistiquement significative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au seuil de 5 %. La taille d'effet </w:t>
      </w:r>
      <w:r w:rsidDel="00000000" w:rsidR="00000000" w:rsidRPr="00000000">
        <w:rPr>
          <w:rtl w:val="0"/>
        </w:rPr>
        <w:t xml:space="preserve">extrêmement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faible confirme que la zone de </w:t>
      </w:r>
      <w:r w:rsidDel="00000000" w:rsidR="00000000" w:rsidRPr="00000000">
        <w:rPr>
          <w:rtl w:val="0"/>
        </w:rPr>
        <w:t xml:space="preserve">résidence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n'est pas, en elle-</w:t>
      </w:r>
      <w:r w:rsidDel="00000000" w:rsidR="00000000" w:rsidRPr="00000000">
        <w:rPr>
          <w:rtl w:val="0"/>
        </w:rPr>
        <w:t xml:space="preserve">même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un </w:t>
      </w:r>
      <w:r w:rsidDel="00000000" w:rsidR="00000000" w:rsidRPr="00000000">
        <w:rPr>
          <w:rtl w:val="0"/>
        </w:rPr>
        <w:t xml:space="preserve">déterminant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majeur du niveau de </w:t>
      </w:r>
      <w:r w:rsidDel="00000000" w:rsidR="00000000" w:rsidRPr="00000000">
        <w:rPr>
          <w:rtl w:val="0"/>
        </w:rPr>
        <w:t xml:space="preserve">dépenses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</w:t>
      </w:r>
      <w:r w:rsidDel="00000000" w:rsidR="00000000" w:rsidRPr="00000000">
        <w:rPr>
          <w:rtl w:val="0"/>
        </w:rPr>
        <w:t xml:space="preserve">santé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dans cet </w:t>
      </w:r>
      <w:r w:rsidDel="00000000" w:rsidR="00000000" w:rsidRPr="00000000">
        <w:rPr>
          <w:rtl w:val="0"/>
        </w:rPr>
        <w:t xml:space="preserve">échantillon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La Figure 5 illustre cette similitude par la quasi-superposition des distributions : les deux violons </w:t>
      </w:r>
      <w:r w:rsidDel="00000000" w:rsidR="00000000" w:rsidRPr="00000000">
        <w:rPr>
          <w:rtl w:val="0"/>
        </w:rPr>
        <w:t xml:space="preserve">présentent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une forme similaire, avec des queues </w:t>
      </w:r>
      <w:r w:rsidDel="00000000" w:rsidR="00000000" w:rsidRPr="00000000">
        <w:rPr>
          <w:rtl w:val="0"/>
        </w:rPr>
        <w:t xml:space="preserve">étalées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vers les valeurs </w:t>
      </w:r>
      <w:r w:rsidDel="00000000" w:rsidR="00000000" w:rsidRPr="00000000">
        <w:rPr>
          <w:rtl w:val="0"/>
        </w:rPr>
        <w:t xml:space="preserve">élevées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dans les deux zones. La </w:t>
      </w:r>
      <w:r w:rsidDel="00000000" w:rsidR="00000000" w:rsidRPr="00000000">
        <w:rPr>
          <w:rtl w:val="0"/>
        </w:rPr>
        <w:t xml:space="preserve">variabilité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importante </w:t>
      </w:r>
      <w:r w:rsidDel="00000000" w:rsidR="00000000" w:rsidRPr="00000000">
        <w:rPr>
          <w:rtl w:val="0"/>
        </w:rPr>
        <w:t xml:space="preserve">observée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dans la zone urbaine (queue </w:t>
      </w:r>
      <w:r w:rsidDel="00000000" w:rsidR="00000000" w:rsidRPr="00000000">
        <w:rPr>
          <w:rtl w:val="0"/>
        </w:rPr>
        <w:t xml:space="preserve">supérieure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plus </w:t>
      </w:r>
      <w:r w:rsidDel="00000000" w:rsidR="00000000" w:rsidRPr="00000000">
        <w:rPr>
          <w:rtl w:val="0"/>
        </w:rPr>
        <w:t xml:space="preserve">étendue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) </w:t>
      </w:r>
      <w:r w:rsidDel="00000000" w:rsidR="00000000" w:rsidRPr="00000000">
        <w:rPr>
          <w:rtl w:val="0"/>
        </w:rPr>
        <w:t xml:space="preserve">reflète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la coexistence </w:t>
      </w:r>
      <w:r w:rsidDel="00000000" w:rsidR="00000000" w:rsidRPr="00000000">
        <w:rPr>
          <w:rtl w:val="0"/>
        </w:rPr>
        <w:t xml:space="preserve">d'établissements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 soins de </w:t>
      </w:r>
      <w:r w:rsidDel="00000000" w:rsidR="00000000" w:rsidRPr="00000000">
        <w:rPr>
          <w:rtl w:val="0"/>
        </w:rPr>
        <w:t xml:space="preserve">différents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niveaux et </w:t>
      </w:r>
      <w:r w:rsidDel="00000000" w:rsidR="00000000" w:rsidRPr="00000000">
        <w:rPr>
          <w:rtl w:val="0"/>
        </w:rPr>
        <w:t xml:space="preserve">coûts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, des dispensaires publics aux cliniques </w:t>
      </w:r>
      <w:r w:rsidDel="00000000" w:rsidR="00000000" w:rsidRPr="00000000">
        <w:rPr>
          <w:rtl w:val="0"/>
        </w:rPr>
        <w:t xml:space="preserve">privées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spécialisées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6" w:val="single"/>
              <w:left w:color="2e75b6" w:space="0" w:sz="6" w:val="single"/>
              <w:bottom w:color="cccccc" w:space="0" w:sz="4" w:val="single"/>
              <w:right w:color="000000" w:space="0" w:sz="0" w:val="nil"/>
            </w:tcBorders>
            <w:shd w:fill="ebf3fb" w:val="clear"/>
            <w:tcMar>
              <w:top w:w="120.0" w:type="dxa"/>
              <w:left w:w="160.0" w:type="dxa"/>
              <w:bottom w:w="12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spacing w:after="80" w:before="80" w:lineRule="auto"/>
              <w:rPr/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Interprétation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 du </w:t>
            </w: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résultat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 non significatif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p = 0,365 &gt; 0,05 : on ne rejette pas H0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d'égalité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des distributions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r = 0,010 : effet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négligeable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-- la zone n'explique qu'une infime part de la variance des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dépenses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Cela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suggère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que les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barrières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d'accès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sont similaires en rural et en urbain dans cet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échantillon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 Possible biais : les non-consultants (plus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fréquents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en rural) sont exclus --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sélection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1"/>
                <w:szCs w:val="21"/>
                <w:rtl w:val="0"/>
              </w:rPr>
              <w:t xml:space="preserve"> sur les consultants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spacing w:after="8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VII. Conclusion et limites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7.1 Principaux enseignements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80" w:before="8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Cette analyse des </w:t>
      </w:r>
      <w:r w:rsidDel="00000000" w:rsidR="00000000" w:rsidRPr="00000000">
        <w:rPr>
          <w:rtl w:val="0"/>
        </w:rPr>
        <w:t xml:space="preserve">données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du GHS Panel Wave 4 met en </w:t>
      </w:r>
      <w:r w:rsidDel="00000000" w:rsidR="00000000" w:rsidRPr="00000000">
        <w:rPr>
          <w:rtl w:val="0"/>
        </w:rPr>
        <w:t xml:space="preserve">évidence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quatre </w:t>
      </w:r>
      <w:r w:rsidDel="00000000" w:rsidR="00000000" w:rsidRPr="00000000">
        <w:rPr>
          <w:rtl w:val="0"/>
        </w:rPr>
        <w:t xml:space="preserve">résultats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structurants sur la </w:t>
      </w:r>
      <w:r w:rsidDel="00000000" w:rsidR="00000000" w:rsidRPr="00000000">
        <w:rPr>
          <w:rtl w:val="0"/>
        </w:rPr>
        <w:t xml:space="preserve">santé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des </w:t>
      </w:r>
      <w:r w:rsidDel="00000000" w:rsidR="00000000" w:rsidRPr="00000000">
        <w:rPr>
          <w:rtl w:val="0"/>
        </w:rPr>
        <w:t xml:space="preserve">ménages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  <w:t xml:space="preserve">nigériens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en 2018-2019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Les femmes et les personnes </w:t>
      </w:r>
      <w:r w:rsidDel="00000000" w:rsidR="00000000" w:rsidRPr="00000000">
        <w:rPr>
          <w:rtl w:val="0"/>
        </w:rPr>
        <w:t xml:space="preserve">âgées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sont les groupes les plus </w:t>
      </w:r>
      <w:r w:rsidDel="00000000" w:rsidR="00000000" w:rsidRPr="00000000">
        <w:rPr>
          <w:rtl w:val="0"/>
        </w:rPr>
        <w:t xml:space="preserve">vulnérables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: les femmes </w:t>
      </w:r>
      <w:r w:rsidDel="00000000" w:rsidR="00000000" w:rsidRPr="00000000">
        <w:rPr>
          <w:rtl w:val="0"/>
        </w:rPr>
        <w:t xml:space="preserve">présentent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 taux de </w:t>
      </w:r>
      <w:r w:rsidDel="00000000" w:rsidR="00000000" w:rsidRPr="00000000">
        <w:rPr>
          <w:rtl w:val="0"/>
        </w:rPr>
        <w:t xml:space="preserve">morbidité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rtl w:val="0"/>
        </w:rPr>
        <w:t xml:space="preserve">9,2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% contre 8,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% pour les hommes, et les personnes de 60 ans et plus atteignent 2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% -- trois fois la moyenne nationale.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 profil </w:t>
      </w:r>
      <w:r w:rsidDel="00000000" w:rsidR="00000000" w:rsidRPr="00000000">
        <w:rPr>
          <w:rtl w:val="0"/>
        </w:rPr>
        <w:t xml:space="preserve">épidémiologique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reste </w:t>
      </w:r>
      <w:r w:rsidDel="00000000" w:rsidR="00000000" w:rsidRPr="00000000">
        <w:rPr>
          <w:rtl w:val="0"/>
        </w:rPr>
        <w:t xml:space="preserve">dominé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 les maladies infectieuses et les </w:t>
      </w:r>
      <w:r w:rsidDel="00000000" w:rsidR="00000000" w:rsidRPr="00000000">
        <w:rPr>
          <w:rtl w:val="0"/>
        </w:rPr>
        <w:t xml:space="preserve">symptômes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non </w:t>
      </w:r>
      <w:r w:rsidDel="00000000" w:rsidR="00000000" w:rsidRPr="00000000">
        <w:rPr>
          <w:rtl w:val="0"/>
        </w:rPr>
        <w:t xml:space="preserve">spécifiques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: le paludisme (</w:t>
      </w:r>
      <w:r w:rsidDel="00000000" w:rsidR="00000000" w:rsidRPr="00000000">
        <w:rPr>
          <w:rtl w:val="0"/>
        </w:rPr>
        <w:t xml:space="preserve">3,7 millions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et les douleurs corporelles (2,5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cas) </w:t>
      </w:r>
      <w:r w:rsidDel="00000000" w:rsidR="00000000" w:rsidRPr="00000000">
        <w:rPr>
          <w:rtl w:val="0"/>
        </w:rPr>
        <w:t xml:space="preserve">représentent à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eux seuls plus de 40 % des affections </w:t>
      </w:r>
      <w:r w:rsidDel="00000000" w:rsidR="00000000" w:rsidRPr="00000000">
        <w:rPr>
          <w:rtl w:val="0"/>
        </w:rPr>
        <w:t xml:space="preserve">déclarées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 recours au chimiste de quartier (4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% des consultations) traduit une </w:t>
      </w:r>
      <w:r w:rsidDel="00000000" w:rsidR="00000000" w:rsidRPr="00000000">
        <w:rPr>
          <w:rtl w:val="0"/>
        </w:rPr>
        <w:t xml:space="preserve">médicalisation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informelle dominante, </w:t>
      </w:r>
      <w:r w:rsidDel="00000000" w:rsidR="00000000" w:rsidRPr="00000000">
        <w:rPr>
          <w:rtl w:val="0"/>
        </w:rPr>
        <w:t xml:space="preserve">liée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aux </w:t>
      </w:r>
      <w:r w:rsidDel="00000000" w:rsidR="00000000" w:rsidRPr="00000000">
        <w:rPr>
          <w:rtl w:val="0"/>
        </w:rPr>
        <w:t xml:space="preserve">barrières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d'accès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au </w:t>
      </w:r>
      <w:r w:rsidDel="00000000" w:rsidR="00000000" w:rsidRPr="00000000">
        <w:rPr>
          <w:rtl w:val="0"/>
        </w:rPr>
        <w:t xml:space="preserve">système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formel. Le taux de non-recours (1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%) </w:t>
      </w:r>
      <w:r w:rsidDel="00000000" w:rsidR="00000000" w:rsidRPr="00000000">
        <w:rPr>
          <w:rtl w:val="0"/>
        </w:rPr>
        <w:t xml:space="preserve">signale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 </w:t>
      </w:r>
      <w:r w:rsidDel="00000000" w:rsidR="00000000" w:rsidRPr="00000000">
        <w:rPr>
          <w:rtl w:val="0"/>
        </w:rPr>
        <w:t xml:space="preserve">inégalités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d'accès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persistantes.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Les </w:t>
      </w:r>
      <w:r w:rsidDel="00000000" w:rsidR="00000000" w:rsidRPr="00000000">
        <w:rPr>
          <w:rtl w:val="0"/>
        </w:rPr>
        <w:t xml:space="preserve">dépenses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rtl w:val="0"/>
        </w:rPr>
        <w:t xml:space="preserve">santé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sont </w:t>
      </w:r>
      <w:r w:rsidDel="00000000" w:rsidR="00000000" w:rsidRPr="00000000">
        <w:rPr>
          <w:rtl w:val="0"/>
        </w:rPr>
        <w:t xml:space="preserve">très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concentrées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et </w:t>
      </w:r>
      <w:r w:rsidDel="00000000" w:rsidR="00000000" w:rsidRPr="00000000">
        <w:rPr>
          <w:rtl w:val="0"/>
        </w:rPr>
        <w:t xml:space="preserve">asymétriques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sans </w:t>
      </w:r>
      <w:r w:rsidDel="00000000" w:rsidR="00000000" w:rsidRPr="00000000">
        <w:rPr>
          <w:rtl w:val="0"/>
        </w:rPr>
        <w:t xml:space="preserve">différence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significative entre rural et urbain -- un </w:t>
      </w:r>
      <w:r w:rsidDel="00000000" w:rsidR="00000000" w:rsidRPr="00000000">
        <w:rPr>
          <w:rtl w:val="0"/>
        </w:rPr>
        <w:t xml:space="preserve">résultat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qui </w:t>
      </w:r>
      <w:r w:rsidDel="00000000" w:rsidR="00000000" w:rsidRPr="00000000">
        <w:rPr>
          <w:rtl w:val="0"/>
        </w:rPr>
        <w:t xml:space="preserve">mérite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d'être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approfondi en </w:t>
      </w:r>
      <w:r w:rsidDel="00000000" w:rsidR="00000000" w:rsidRPr="00000000">
        <w:rPr>
          <w:rtl w:val="0"/>
        </w:rPr>
        <w:t xml:space="preserve">contrôlant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</w:t>
      </w:r>
      <w:r w:rsidDel="00000000" w:rsidR="00000000" w:rsidRPr="00000000">
        <w:rPr>
          <w:rtl w:val="0"/>
        </w:rPr>
        <w:t xml:space="preserve">sélection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 consultants.</w:t>
      </w:r>
    </w:p>
    <w:p w:rsidR="00000000" w:rsidDel="00000000" w:rsidP="00000000" w:rsidRDefault="00000000" w:rsidRPr="00000000" w14:paraId="000000A9">
      <w:pPr>
        <w:spacing w:after="6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7.2 Limites de l'analyse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Absence de </w:t>
      </w:r>
      <w:r w:rsidDel="00000000" w:rsidR="00000000" w:rsidRPr="00000000">
        <w:rPr>
          <w:rtl w:val="0"/>
        </w:rPr>
        <w:t xml:space="preserve">cons_agg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Wave 4 : les quintiles de niveau de vie </w:t>
      </w:r>
      <w:r w:rsidDel="00000000" w:rsidR="00000000" w:rsidRPr="00000000">
        <w:rPr>
          <w:rtl w:val="0"/>
        </w:rPr>
        <w:t xml:space="preserve">utilisés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dans le tableau </w:t>
      </w:r>
      <w:r w:rsidDel="00000000" w:rsidR="00000000" w:rsidRPr="00000000">
        <w:rPr>
          <w:rtl w:val="0"/>
        </w:rPr>
        <w:t xml:space="preserve">récapitulatif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sont construits </w:t>
      </w:r>
      <w:r w:rsidDel="00000000" w:rsidR="00000000" w:rsidRPr="00000000">
        <w:rPr>
          <w:rtl w:val="0"/>
        </w:rPr>
        <w:t xml:space="preserve">à partir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 Wave 3 (2015-2016), introduisant une erreur de classement potentielle pour les </w:t>
      </w:r>
      <w:r w:rsidDel="00000000" w:rsidR="00000000" w:rsidRPr="00000000">
        <w:rPr>
          <w:rtl w:val="0"/>
        </w:rPr>
        <w:t xml:space="preserve">ménages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ayant connu une </w:t>
      </w:r>
      <w:r w:rsidDel="00000000" w:rsidR="00000000" w:rsidRPr="00000000">
        <w:rPr>
          <w:rtl w:val="0"/>
        </w:rPr>
        <w:t xml:space="preserve">mobilité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économique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Biais de </w:t>
      </w:r>
      <w:r w:rsidDel="00000000" w:rsidR="00000000" w:rsidRPr="00000000">
        <w:rPr>
          <w:rtl w:val="0"/>
        </w:rPr>
        <w:t xml:space="preserve">sélection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sur les </w:t>
      </w:r>
      <w:r w:rsidDel="00000000" w:rsidR="00000000" w:rsidRPr="00000000">
        <w:rPr>
          <w:rtl w:val="0"/>
        </w:rPr>
        <w:t xml:space="preserve">dépenses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: l'analyse des </w:t>
      </w:r>
      <w:r w:rsidDel="00000000" w:rsidR="00000000" w:rsidRPr="00000000">
        <w:rPr>
          <w:rtl w:val="0"/>
        </w:rPr>
        <w:t xml:space="preserve">dépenses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porte uniquement sur les individus ayant effectivement </w:t>
      </w:r>
      <w:r w:rsidDel="00000000" w:rsidR="00000000" w:rsidRPr="00000000">
        <w:rPr>
          <w:rtl w:val="0"/>
        </w:rPr>
        <w:t xml:space="preserve">consulté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et </w:t>
      </w:r>
      <w:r w:rsidDel="00000000" w:rsidR="00000000" w:rsidRPr="00000000">
        <w:rPr>
          <w:rtl w:val="0"/>
        </w:rPr>
        <w:t xml:space="preserve">dépensé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excluant les non-consultants -- plus nombreux en milieu rural -- ce qui peut </w:t>
      </w:r>
      <w:r w:rsidDel="00000000" w:rsidR="00000000" w:rsidRPr="00000000">
        <w:rPr>
          <w:rtl w:val="0"/>
        </w:rPr>
        <w:t xml:space="preserve">atténuer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les </w:t>
      </w:r>
      <w:r w:rsidDel="00000000" w:rsidR="00000000" w:rsidRPr="00000000">
        <w:rPr>
          <w:rtl w:val="0"/>
        </w:rPr>
        <w:t xml:space="preserve">différences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rural/urbain.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Sous-</w:t>
      </w:r>
      <w:r w:rsidDel="00000000" w:rsidR="00000000" w:rsidRPr="00000000">
        <w:rPr>
          <w:rtl w:val="0"/>
        </w:rPr>
        <w:t xml:space="preserve">déclaration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 </w:t>
      </w:r>
      <w:r w:rsidDel="00000000" w:rsidR="00000000" w:rsidRPr="00000000">
        <w:rPr>
          <w:rtl w:val="0"/>
        </w:rPr>
        <w:t xml:space="preserve">dépenses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: les paiements informels (</w:t>
      </w:r>
      <w:r w:rsidDel="00000000" w:rsidR="00000000" w:rsidRPr="00000000">
        <w:rPr>
          <w:rtl w:val="0"/>
        </w:rPr>
        <w:t xml:space="preserve">guérisseurs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automédication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sont probablement sous-</w:t>
      </w:r>
      <w:r w:rsidDel="00000000" w:rsidR="00000000" w:rsidRPr="00000000">
        <w:rPr>
          <w:rtl w:val="0"/>
        </w:rPr>
        <w:t xml:space="preserve">estimés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 les </w:t>
      </w:r>
      <w:r w:rsidDel="00000000" w:rsidR="00000000" w:rsidRPr="00000000">
        <w:rPr>
          <w:rtl w:val="0"/>
        </w:rPr>
        <w:t xml:space="preserve">répondants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Pondération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: les analyses descriptives ne mobilisent pas les poids de sondage (</w:t>
      </w:r>
      <w:r w:rsidDel="00000000" w:rsidR="00000000" w:rsidRPr="00000000">
        <w:rPr>
          <w:rtl w:val="0"/>
        </w:rPr>
        <w:t xml:space="preserve">wt wave 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), ce qui peut affecter la </w:t>
      </w:r>
      <w:r w:rsidDel="00000000" w:rsidR="00000000" w:rsidRPr="00000000">
        <w:rPr>
          <w:rtl w:val="0"/>
        </w:rPr>
        <w:t xml:space="preserve">représentativité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nationale des estimations.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Période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rtl w:val="0"/>
        </w:rPr>
        <w:t xml:space="preserve">référence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: la </w:t>
      </w:r>
      <w:r w:rsidDel="00000000" w:rsidR="00000000" w:rsidRPr="00000000">
        <w:rPr>
          <w:rtl w:val="0"/>
        </w:rPr>
        <w:t xml:space="preserve">fenêtre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rappel de 4 semaines peut induire un biais de </w:t>
      </w:r>
      <w:r w:rsidDel="00000000" w:rsidR="00000000" w:rsidRPr="00000000">
        <w:rPr>
          <w:rtl w:val="0"/>
        </w:rPr>
        <w:t xml:space="preserve">télescopage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(oubli </w:t>
      </w:r>
      <w:r w:rsidDel="00000000" w:rsidR="00000000" w:rsidRPr="00000000">
        <w:rPr>
          <w:rtl w:val="0"/>
        </w:rPr>
        <w:t xml:space="preserve">d'épisodes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anciens ou rappel </w:t>
      </w:r>
      <w:r w:rsidDel="00000000" w:rsidR="00000000" w:rsidRPr="00000000">
        <w:rPr>
          <w:rtl w:val="0"/>
        </w:rPr>
        <w:t xml:space="preserve">d'épisodes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antérieurs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B0">
      <w:pPr>
        <w:spacing w:after="6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7.3 Recommandations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Intégrer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les poids de sondage pour produire des estimations </w:t>
      </w:r>
      <w:r w:rsidDel="00000000" w:rsidR="00000000" w:rsidRPr="00000000">
        <w:rPr>
          <w:rtl w:val="0"/>
        </w:rPr>
        <w:t xml:space="preserve">représentatives à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l'échelle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nationale.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Approfondir l'analyse des </w:t>
      </w:r>
      <w:r w:rsidDel="00000000" w:rsidR="00000000" w:rsidRPr="00000000">
        <w:rPr>
          <w:rtl w:val="0"/>
        </w:rPr>
        <w:t xml:space="preserve">déterminants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du non-recours aux soins par une </w:t>
      </w:r>
      <w:r w:rsidDel="00000000" w:rsidR="00000000" w:rsidRPr="00000000">
        <w:rPr>
          <w:rtl w:val="0"/>
        </w:rPr>
        <w:t xml:space="preserve">régression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logistique </w:t>
      </w:r>
      <w:r w:rsidDel="00000000" w:rsidR="00000000" w:rsidRPr="00000000">
        <w:rPr>
          <w:rtl w:val="0"/>
        </w:rPr>
        <w:t xml:space="preserve">multivariée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Analyser les </w:t>
      </w:r>
      <w:r w:rsidDel="00000000" w:rsidR="00000000" w:rsidRPr="00000000">
        <w:rPr>
          <w:rtl w:val="0"/>
        </w:rPr>
        <w:t xml:space="preserve">dépenses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catastrophiques de </w:t>
      </w:r>
      <w:r w:rsidDel="00000000" w:rsidR="00000000" w:rsidRPr="00000000">
        <w:rPr>
          <w:rtl w:val="0"/>
        </w:rPr>
        <w:t xml:space="preserve">santé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tl w:val="0"/>
        </w:rPr>
        <w:t xml:space="preserve">dépenses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&gt; 10 % du revenu du </w:t>
      </w:r>
      <w:r w:rsidDel="00000000" w:rsidR="00000000" w:rsidRPr="00000000">
        <w:rPr>
          <w:rtl w:val="0"/>
        </w:rPr>
        <w:t xml:space="preserve">ménage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comme indicateur de </w:t>
      </w:r>
      <w:r w:rsidDel="00000000" w:rsidR="00000000" w:rsidRPr="00000000">
        <w:rPr>
          <w:rtl w:val="0"/>
        </w:rPr>
        <w:t xml:space="preserve">vulnérabilité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financière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Conduire une analyse longitudinale inter-vagues pour </w:t>
      </w:r>
      <w:r w:rsidDel="00000000" w:rsidR="00000000" w:rsidRPr="00000000">
        <w:rPr>
          <w:rtl w:val="0"/>
        </w:rPr>
        <w:t xml:space="preserve">étudier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l'évolution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 </w:t>
      </w:r>
      <w:r w:rsidDel="00000000" w:rsidR="00000000" w:rsidRPr="00000000">
        <w:rPr>
          <w:rtl w:val="0"/>
        </w:rPr>
        <w:t xml:space="preserve">morbidité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et de </w:t>
      </w:r>
      <w:r w:rsidDel="00000000" w:rsidR="00000000" w:rsidRPr="00000000">
        <w:rPr>
          <w:rtl w:val="0"/>
        </w:rPr>
        <w:t xml:space="preserve">l'accès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aux soins entre 2010 et 2018.</w:t>
      </w:r>
    </w:p>
    <w:p w:rsidR="00000000" w:rsidDel="00000000" w:rsidP="00000000" w:rsidRDefault="00000000" w:rsidRPr="00000000" w14:paraId="000000B6">
      <w:pPr>
        <w:spacing w:after="6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Bdr>
          <w:bottom w:color="2e75b6" w:space="1" w:sz="6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4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Rapport </w:t>
      </w: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réalisé</w:t>
      </w: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 dans le cadre du cours de Projet Statistique sous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ENSAE Pierre Ndiaye -- ISE1 2025-2026</w:t>
      </w: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C">
    <w:pPr>
      <w:pBdr>
        <w:top w:color="2e75b6" w:space="4" w:sz="4" w:val="single"/>
      </w:pBdr>
      <w:jc w:val="center"/>
      <w:rPr/>
    </w:pPr>
    <w:r w:rsidDel="00000000" w:rsidR="00000000" w:rsidRPr="00000000">
      <w:rPr>
        <w:rFonts w:ascii="Arial" w:cs="Arial" w:eastAsia="Arial" w:hAnsi="Arial"/>
        <w:color w:val="595959"/>
        <w:sz w:val="18"/>
        <w:szCs w:val="18"/>
        <w:rtl w:val="0"/>
      </w:rPr>
      <w:t xml:space="preserve">ENSAE Pierre Ndiaye -- ISE1 2025-2026  |  Page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B">
    <w:pPr>
      <w:pBdr>
        <w:bottom w:color="2e75b6" w:space="4" w:sz="4" w:val="single"/>
      </w:pBdr>
      <w:jc w:val="right"/>
      <w:rPr/>
    </w:pPr>
    <w:r w:rsidDel="00000000" w:rsidR="00000000" w:rsidRPr="00000000">
      <w:rPr>
        <w:color w:val="595959"/>
        <w:sz w:val="18"/>
        <w:szCs w:val="18"/>
        <w:rtl w:val="0"/>
      </w:rPr>
      <w:t xml:space="preserve">Accès</w:t>
    </w:r>
    <w:r w:rsidDel="00000000" w:rsidR="00000000" w:rsidRPr="00000000">
      <w:rPr>
        <w:rFonts w:ascii="Arial" w:cs="Arial" w:eastAsia="Arial" w:hAnsi="Arial"/>
        <w:color w:val="595959"/>
        <w:sz w:val="18"/>
        <w:szCs w:val="18"/>
        <w:rtl w:val="0"/>
      </w:rPr>
      <w:t xml:space="preserve"> aux services de </w:t>
    </w:r>
    <w:r w:rsidDel="00000000" w:rsidR="00000000" w:rsidRPr="00000000">
      <w:rPr>
        <w:color w:val="595959"/>
        <w:sz w:val="18"/>
        <w:szCs w:val="18"/>
        <w:rtl w:val="0"/>
      </w:rPr>
      <w:t xml:space="preserve">santé</w:t>
    </w:r>
    <w:r w:rsidDel="00000000" w:rsidR="00000000" w:rsidRPr="00000000">
      <w:rPr>
        <w:rFonts w:ascii="Arial" w:cs="Arial" w:eastAsia="Arial" w:hAnsi="Arial"/>
        <w:color w:val="595959"/>
        <w:sz w:val="18"/>
        <w:szCs w:val="18"/>
        <w:rtl w:val="0"/>
      </w:rPr>
      <w:t xml:space="preserve"> -- GHS Panel Wave 4 (2018)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e75b6" w:space="4" w:sz="4" w:val="single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1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95959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12" Type="http://schemas.openxmlformats.org/officeDocument/2006/relationships/footer" Target="foot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